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45B" w:rsidRPr="00FE22E7" w:rsidRDefault="00A3345B" w:rsidP="00FE22E7">
      <w:pPr>
        <w:pStyle w:val="NoSpacing"/>
        <w:rPr>
          <w:rFonts w:ascii="Garamond" w:hAnsi="Garamond"/>
          <w:b/>
          <w:sz w:val="32"/>
          <w:szCs w:val="32"/>
        </w:rPr>
      </w:pPr>
      <w:r>
        <w:tab/>
      </w:r>
      <w:r>
        <w:tab/>
      </w:r>
      <w:r>
        <w:tab/>
      </w:r>
      <w:r>
        <w:tab/>
      </w:r>
      <w:r w:rsidRPr="00FE22E7">
        <w:rPr>
          <w:rFonts w:ascii="Garamond" w:hAnsi="Garamond"/>
          <w:b/>
          <w:sz w:val="32"/>
          <w:szCs w:val="32"/>
        </w:rPr>
        <w:t>WPLC Board Meeting</w:t>
      </w:r>
      <w:r>
        <w:rPr>
          <w:rFonts w:ascii="Garamond" w:hAnsi="Garamond"/>
          <w:b/>
          <w:sz w:val="32"/>
          <w:szCs w:val="32"/>
        </w:rPr>
        <w:t xml:space="preserve"> Reports </w:t>
      </w:r>
    </w:p>
    <w:p w:rsidR="00A3345B" w:rsidRDefault="00A3345B" w:rsidP="00FE22E7">
      <w:pPr>
        <w:pStyle w:val="NoSpacing"/>
        <w:ind w:left="2880" w:firstLine="720"/>
        <w:rPr>
          <w:rFonts w:ascii="Garamond" w:hAnsi="Garamond"/>
          <w:sz w:val="24"/>
          <w:szCs w:val="24"/>
        </w:rPr>
      </w:pPr>
      <w:r w:rsidRPr="00FE22E7">
        <w:rPr>
          <w:rFonts w:ascii="Garamond" w:hAnsi="Garamond"/>
          <w:sz w:val="24"/>
          <w:szCs w:val="24"/>
        </w:rPr>
        <w:t>November 16, 2012</w:t>
      </w:r>
    </w:p>
    <w:p w:rsidR="00A3345B" w:rsidRDefault="00A3345B" w:rsidP="00FE22E7">
      <w:pPr>
        <w:pStyle w:val="NoSpacing"/>
        <w:tabs>
          <w:tab w:val="left" w:pos="90"/>
        </w:tabs>
        <w:ind w:left="90" w:firstLine="720"/>
        <w:jc w:val="both"/>
        <w:rPr>
          <w:rFonts w:ascii="Garamond" w:hAnsi="Garamond"/>
          <w:sz w:val="24"/>
          <w:szCs w:val="24"/>
        </w:rPr>
      </w:pPr>
    </w:p>
    <w:p w:rsidR="00A3345B" w:rsidRPr="00FE22E7" w:rsidRDefault="00A3345B" w:rsidP="00FE22E7">
      <w:pPr>
        <w:pStyle w:val="NoSpacing"/>
        <w:tabs>
          <w:tab w:val="left" w:pos="90"/>
        </w:tabs>
        <w:ind w:left="90" w:firstLine="630"/>
        <w:jc w:val="both"/>
        <w:rPr>
          <w:rFonts w:ascii="Garamond" w:hAnsi="Garamond"/>
          <w:sz w:val="28"/>
          <w:szCs w:val="28"/>
        </w:rPr>
      </w:pPr>
    </w:p>
    <w:p w:rsidR="00A3345B" w:rsidRPr="00FE22E7" w:rsidRDefault="00A3345B" w:rsidP="00FE22E7">
      <w:pPr>
        <w:pStyle w:val="NoSpacing"/>
        <w:tabs>
          <w:tab w:val="left" w:pos="90"/>
        </w:tabs>
        <w:jc w:val="both"/>
        <w:rPr>
          <w:rFonts w:ascii="Garamond" w:hAnsi="Garamond"/>
          <w:b/>
          <w:sz w:val="28"/>
          <w:szCs w:val="28"/>
        </w:rPr>
      </w:pPr>
      <w:r w:rsidRPr="00FE22E7">
        <w:rPr>
          <w:rFonts w:ascii="Garamond" w:hAnsi="Garamond"/>
          <w:b/>
          <w:sz w:val="28"/>
          <w:szCs w:val="28"/>
        </w:rPr>
        <w:t xml:space="preserve">Selection Committee Update: </w:t>
      </w:r>
    </w:p>
    <w:p w:rsidR="00A3345B" w:rsidRDefault="00A3345B" w:rsidP="00FE22E7">
      <w:pPr>
        <w:pStyle w:val="NoSpacing"/>
        <w:tabs>
          <w:tab w:val="left" w:pos="90"/>
        </w:tabs>
        <w:ind w:left="90" w:firstLine="630"/>
        <w:jc w:val="both"/>
        <w:rPr>
          <w:rFonts w:ascii="Garamond" w:hAnsi="Garamond"/>
          <w:sz w:val="24"/>
          <w:szCs w:val="24"/>
        </w:rPr>
      </w:pPr>
    </w:p>
    <w:p w:rsidR="00A3345B" w:rsidRPr="00FE22E7" w:rsidRDefault="00A3345B" w:rsidP="00FE22E7">
      <w:pPr>
        <w:jc w:val="both"/>
        <w:rPr>
          <w:rFonts w:ascii="Garamond" w:hAnsi="Garamond" w:cs="Calibri"/>
          <w:color w:val="000000"/>
          <w:sz w:val="28"/>
          <w:szCs w:val="28"/>
        </w:rPr>
      </w:pPr>
      <w:r w:rsidRPr="00FE22E7">
        <w:rPr>
          <w:rFonts w:ascii="Garamond" w:hAnsi="Garamond"/>
          <w:sz w:val="28"/>
          <w:szCs w:val="28"/>
        </w:rPr>
        <w:t>The Selection Committee has</w:t>
      </w:r>
      <w:r w:rsidRPr="00FE22E7">
        <w:rPr>
          <w:rFonts w:ascii="Garamond" w:hAnsi="Garamond" w:cs="Calibri"/>
          <w:color w:val="000000"/>
          <w:sz w:val="28"/>
          <w:szCs w:val="28"/>
        </w:rPr>
        <w:t xml:space="preserve"> $ 211,221.50 for November and December orders.  We have budgeted approximately $8</w:t>
      </w:r>
      <w:r>
        <w:rPr>
          <w:rFonts w:ascii="Garamond" w:hAnsi="Garamond" w:cs="Calibri"/>
          <w:color w:val="000000"/>
          <w:sz w:val="28"/>
          <w:szCs w:val="28"/>
        </w:rPr>
        <w:t>0,000 per month for content and</w:t>
      </w:r>
      <w:r w:rsidRPr="00FE22E7">
        <w:rPr>
          <w:rFonts w:ascii="Garamond" w:hAnsi="Garamond" w:cs="Calibri"/>
          <w:color w:val="000000"/>
          <w:sz w:val="28"/>
          <w:szCs w:val="28"/>
        </w:rPr>
        <w:t xml:space="preserve"> $51,000 for “Holiday Push Titles” as we did last year.</w:t>
      </w:r>
    </w:p>
    <w:p w:rsidR="00A3345B" w:rsidRDefault="00A3345B" w:rsidP="00FE22E7">
      <w:pPr>
        <w:jc w:val="both"/>
        <w:rPr>
          <w:rFonts w:ascii="Garamond" w:hAnsi="Garamond" w:cs="Calibri"/>
          <w:color w:val="000000"/>
          <w:sz w:val="28"/>
          <w:szCs w:val="28"/>
        </w:rPr>
      </w:pPr>
      <w:r w:rsidRPr="00FE22E7">
        <w:rPr>
          <w:rFonts w:ascii="Garamond" w:hAnsi="Garamond" w:cs="Calibri"/>
          <w:color w:val="000000"/>
          <w:sz w:val="28"/>
          <w:szCs w:val="28"/>
        </w:rPr>
        <w:t>The Selection Committee is meeting Monday November 19</w:t>
      </w:r>
      <w:r w:rsidRPr="00FE22E7">
        <w:rPr>
          <w:rFonts w:ascii="Garamond" w:hAnsi="Garamond" w:cs="Calibri"/>
          <w:color w:val="000000"/>
          <w:sz w:val="28"/>
          <w:szCs w:val="28"/>
          <w:vertAlign w:val="superscript"/>
        </w:rPr>
        <w:t>th</w:t>
      </w:r>
      <w:r w:rsidRPr="00FE22E7">
        <w:rPr>
          <w:rFonts w:ascii="Garamond" w:hAnsi="Garamond" w:cs="Calibri"/>
          <w:color w:val="000000"/>
          <w:sz w:val="28"/>
          <w:szCs w:val="28"/>
        </w:rPr>
        <w:t xml:space="preserve"> at 2:00 p.m. to discuss a strategy for this year’s holiday rush. </w:t>
      </w:r>
      <w:r>
        <w:rPr>
          <w:rFonts w:ascii="Garamond" w:hAnsi="Garamond" w:cs="Calibri"/>
          <w:color w:val="000000"/>
          <w:sz w:val="28"/>
          <w:szCs w:val="28"/>
        </w:rPr>
        <w:t>Our preliminary plan is to create a list of ~10 best-selling Adult and YA fiction/ NF titles and order significant quantities of each to have on hand between Dec 26 and Jan 5</w:t>
      </w:r>
      <w:r w:rsidRPr="00BF1799">
        <w:rPr>
          <w:rFonts w:ascii="Garamond" w:hAnsi="Garamond" w:cs="Calibri"/>
          <w:color w:val="000000"/>
          <w:sz w:val="28"/>
          <w:szCs w:val="28"/>
          <w:vertAlign w:val="superscript"/>
        </w:rPr>
        <w:t>th</w:t>
      </w:r>
      <w:r>
        <w:rPr>
          <w:rFonts w:ascii="Garamond" w:hAnsi="Garamond" w:cs="Calibri"/>
          <w:color w:val="000000"/>
          <w:sz w:val="28"/>
          <w:szCs w:val="28"/>
        </w:rPr>
        <w:t>. Orders will be placed on Dec 24</w:t>
      </w:r>
      <w:r w:rsidRPr="00BF1799">
        <w:rPr>
          <w:rFonts w:ascii="Garamond" w:hAnsi="Garamond" w:cs="Calibri"/>
          <w:color w:val="000000"/>
          <w:sz w:val="28"/>
          <w:szCs w:val="28"/>
          <w:vertAlign w:val="superscript"/>
        </w:rPr>
        <w:t>th</w:t>
      </w:r>
      <w:r>
        <w:rPr>
          <w:rFonts w:ascii="Garamond" w:hAnsi="Garamond" w:cs="Calibri"/>
          <w:color w:val="000000"/>
          <w:sz w:val="28"/>
          <w:szCs w:val="28"/>
        </w:rPr>
        <w:t>, Dec 25</w:t>
      </w:r>
      <w:r w:rsidRPr="00BF1799">
        <w:rPr>
          <w:rFonts w:ascii="Garamond" w:hAnsi="Garamond" w:cs="Calibri"/>
          <w:color w:val="000000"/>
          <w:sz w:val="28"/>
          <w:szCs w:val="28"/>
          <w:vertAlign w:val="superscript"/>
        </w:rPr>
        <w:t>th</w:t>
      </w:r>
      <w:r>
        <w:rPr>
          <w:rFonts w:ascii="Garamond" w:hAnsi="Garamond" w:cs="Calibri"/>
          <w:color w:val="000000"/>
          <w:sz w:val="28"/>
          <w:szCs w:val="28"/>
        </w:rPr>
        <w:t xml:space="preserve"> and Dec 26</w:t>
      </w:r>
      <w:r w:rsidRPr="00BF1799">
        <w:rPr>
          <w:rFonts w:ascii="Garamond" w:hAnsi="Garamond" w:cs="Calibri"/>
          <w:color w:val="000000"/>
          <w:sz w:val="28"/>
          <w:szCs w:val="28"/>
          <w:vertAlign w:val="superscript"/>
        </w:rPr>
        <w:t>th</w:t>
      </w:r>
      <w:r>
        <w:rPr>
          <w:rFonts w:ascii="Garamond" w:hAnsi="Garamond" w:cs="Calibri"/>
          <w:color w:val="000000"/>
          <w:sz w:val="28"/>
          <w:szCs w:val="28"/>
        </w:rPr>
        <w:t xml:space="preserve">. This is the same strategy we employed last year and it worked quite well. </w:t>
      </w:r>
    </w:p>
    <w:p w:rsidR="00A3345B" w:rsidRDefault="00A3345B" w:rsidP="00FE22E7">
      <w:pPr>
        <w:jc w:val="both"/>
        <w:rPr>
          <w:rFonts w:ascii="Garamond" w:hAnsi="Garamond" w:cs="Calibri"/>
          <w:color w:val="000000"/>
          <w:sz w:val="28"/>
          <w:szCs w:val="28"/>
        </w:rPr>
      </w:pPr>
      <w:r>
        <w:rPr>
          <w:rFonts w:ascii="Garamond" w:hAnsi="Garamond" w:cs="Calibri"/>
          <w:color w:val="000000"/>
          <w:sz w:val="28"/>
          <w:szCs w:val="28"/>
        </w:rPr>
        <w:t xml:space="preserve">Although we do not expect quite the same volume as last season, we do anticipate heavy usage of the WI Digital Library over the holiday season particularly with people receiving tablets (forecasted to be this year’s hot electronic item). </w:t>
      </w:r>
    </w:p>
    <w:p w:rsidR="00A3345B" w:rsidRDefault="00A3345B" w:rsidP="00397F49">
      <w:pPr>
        <w:pStyle w:val="NoSpacing"/>
        <w:rPr>
          <w:rFonts w:ascii="Garamond" w:hAnsi="Garamond"/>
          <w:sz w:val="28"/>
          <w:szCs w:val="28"/>
        </w:rPr>
      </w:pPr>
      <w:r w:rsidRPr="00397F49">
        <w:rPr>
          <w:rFonts w:ascii="Garamond" w:hAnsi="Garamond"/>
          <w:sz w:val="28"/>
          <w:szCs w:val="28"/>
        </w:rPr>
        <w:t xml:space="preserve">Title orders are up-to-date on the WPLC website. </w:t>
      </w:r>
    </w:p>
    <w:p w:rsidR="00A3345B" w:rsidRDefault="00A3345B" w:rsidP="00397F49">
      <w:pPr>
        <w:pStyle w:val="NoSpacing"/>
        <w:rPr>
          <w:rFonts w:ascii="Garamond" w:hAnsi="Garamond"/>
          <w:sz w:val="28"/>
          <w:szCs w:val="28"/>
        </w:rPr>
      </w:pPr>
      <w:r w:rsidRPr="00397F49">
        <w:rPr>
          <w:rFonts w:ascii="Garamond" w:hAnsi="Garamond"/>
          <w:sz w:val="28"/>
          <w:szCs w:val="28"/>
        </w:rPr>
        <w:t xml:space="preserve">See: </w:t>
      </w:r>
      <w:hyperlink r:id="rId4" w:history="1">
        <w:r w:rsidRPr="00397F49">
          <w:rPr>
            <w:rStyle w:val="Hyperlink"/>
            <w:rFonts w:ascii="Garamond" w:hAnsi="Garamond" w:cs="Calibri"/>
            <w:sz w:val="28"/>
            <w:szCs w:val="28"/>
          </w:rPr>
          <w:t xml:space="preserve">http://www.wplc.info/reports/titles-purchased/ </w:t>
        </w:r>
      </w:hyperlink>
      <w:r w:rsidRPr="00397F49">
        <w:rPr>
          <w:rFonts w:ascii="Garamond" w:hAnsi="Garamond"/>
          <w:sz w:val="28"/>
          <w:szCs w:val="28"/>
        </w:rPr>
        <w:t xml:space="preserve"> to view. </w:t>
      </w:r>
    </w:p>
    <w:p w:rsidR="00A3345B" w:rsidRDefault="00A3345B" w:rsidP="00397F49">
      <w:pPr>
        <w:pStyle w:val="NoSpacing"/>
        <w:rPr>
          <w:rFonts w:ascii="Garamond" w:hAnsi="Garamond"/>
          <w:sz w:val="28"/>
          <w:szCs w:val="28"/>
        </w:rPr>
      </w:pPr>
    </w:p>
    <w:p w:rsidR="00A3345B" w:rsidRDefault="00A3345B" w:rsidP="00397F49">
      <w:pPr>
        <w:pStyle w:val="NoSpacing"/>
        <w:rPr>
          <w:rFonts w:ascii="Garamond" w:hAnsi="Garamond"/>
          <w:b/>
          <w:sz w:val="28"/>
          <w:szCs w:val="28"/>
        </w:rPr>
      </w:pPr>
      <w:r w:rsidRPr="00397F49">
        <w:rPr>
          <w:rFonts w:ascii="Garamond" w:hAnsi="Garamond"/>
          <w:b/>
          <w:sz w:val="28"/>
          <w:szCs w:val="28"/>
        </w:rPr>
        <w:t>Publisher Update:</w:t>
      </w:r>
    </w:p>
    <w:p w:rsidR="00A3345B" w:rsidRDefault="00A3345B" w:rsidP="00397F49">
      <w:pPr>
        <w:pStyle w:val="NoSpacing"/>
        <w:rPr>
          <w:rFonts w:ascii="Garamond" w:hAnsi="Garamond"/>
          <w:b/>
          <w:sz w:val="28"/>
          <w:szCs w:val="28"/>
        </w:rPr>
      </w:pPr>
    </w:p>
    <w:p w:rsidR="00A3345B" w:rsidRDefault="00A3345B" w:rsidP="00397F49">
      <w:pPr>
        <w:pStyle w:val="NoSpacing"/>
        <w:rPr>
          <w:rFonts w:ascii="Garamond" w:hAnsi="Garamond"/>
          <w:sz w:val="28"/>
          <w:szCs w:val="28"/>
        </w:rPr>
      </w:pPr>
      <w:r>
        <w:rPr>
          <w:rFonts w:ascii="Garamond" w:hAnsi="Garamond"/>
          <w:sz w:val="28"/>
          <w:szCs w:val="28"/>
        </w:rPr>
        <w:t xml:space="preserve">Penguin announced Monday, that they are expanding their ebook program to libraries beyond New York Public Library. There are however limitations. </w:t>
      </w:r>
    </w:p>
    <w:p w:rsidR="00A3345B" w:rsidRDefault="00A3345B" w:rsidP="00010660">
      <w:pPr>
        <w:pStyle w:val="NoSpacing"/>
        <w:rPr>
          <w:rFonts w:ascii="Garamond" w:hAnsi="Garamond"/>
          <w:sz w:val="28"/>
          <w:szCs w:val="28"/>
        </w:rPr>
      </w:pPr>
      <w:r>
        <w:rPr>
          <w:rFonts w:ascii="Garamond" w:hAnsi="Garamond"/>
          <w:sz w:val="28"/>
          <w:szCs w:val="28"/>
        </w:rPr>
        <w:t xml:space="preserve">There is a 6 month embargo on titles and all ebook titles will expire one year after the purchase date. The titles are single-user. At this time the titles are only available through 3M.  There is no embargo on audio titles which are available via OverDrive.  </w:t>
      </w:r>
    </w:p>
    <w:p w:rsidR="00A3345B" w:rsidRDefault="00A3345B" w:rsidP="00397F49">
      <w:pPr>
        <w:pStyle w:val="NoSpacing"/>
        <w:rPr>
          <w:rFonts w:ascii="Garamond" w:hAnsi="Garamond"/>
          <w:sz w:val="28"/>
          <w:szCs w:val="28"/>
        </w:rPr>
      </w:pPr>
    </w:p>
    <w:p w:rsidR="00A3345B" w:rsidRDefault="00A3345B" w:rsidP="00397F49">
      <w:pPr>
        <w:pStyle w:val="NoSpacing"/>
        <w:rPr>
          <w:rFonts w:ascii="Garamond" w:hAnsi="Garamond"/>
          <w:sz w:val="28"/>
          <w:szCs w:val="28"/>
        </w:rPr>
      </w:pPr>
      <w:r>
        <w:rPr>
          <w:rFonts w:ascii="Garamond" w:hAnsi="Garamond"/>
          <w:sz w:val="28"/>
          <w:szCs w:val="28"/>
        </w:rPr>
        <w:t xml:space="preserve">For more information: </w:t>
      </w:r>
      <w:hyperlink r:id="rId5" w:history="1">
        <w:r w:rsidRPr="00010660">
          <w:rPr>
            <w:rStyle w:val="Hyperlink"/>
            <w:rFonts w:ascii="Garamond" w:hAnsi="Garamond"/>
            <w:sz w:val="28"/>
            <w:szCs w:val="28"/>
          </w:rPr>
          <w:t>http://americanlibrariesmagazine.org/e-content/remember-back-when-harpercollins-edition-brought-you-penguin</w:t>
        </w:r>
      </w:hyperlink>
    </w:p>
    <w:p w:rsidR="00A3345B" w:rsidRDefault="00A3345B" w:rsidP="00397F49">
      <w:pPr>
        <w:pStyle w:val="NoSpacing"/>
        <w:rPr>
          <w:rFonts w:ascii="Garamond" w:hAnsi="Garamond"/>
          <w:sz w:val="28"/>
          <w:szCs w:val="28"/>
        </w:rPr>
      </w:pPr>
    </w:p>
    <w:p w:rsidR="00A3345B" w:rsidRDefault="00A3345B" w:rsidP="00397F49">
      <w:pPr>
        <w:pStyle w:val="NoSpacing"/>
        <w:rPr>
          <w:rFonts w:ascii="Garamond" w:hAnsi="Garamond"/>
          <w:sz w:val="28"/>
          <w:szCs w:val="28"/>
        </w:rPr>
      </w:pPr>
      <w:r>
        <w:rPr>
          <w:rFonts w:ascii="Garamond" w:hAnsi="Garamond"/>
          <w:sz w:val="28"/>
          <w:szCs w:val="28"/>
        </w:rPr>
        <w:t xml:space="preserve">Here’s a rundown on the remaining “big six” publishers and library accessibility: </w:t>
      </w:r>
    </w:p>
    <w:p w:rsidR="00A3345B" w:rsidRDefault="00A3345B" w:rsidP="00397F49">
      <w:pPr>
        <w:pStyle w:val="NoSpacing"/>
        <w:rPr>
          <w:rFonts w:ascii="Garamond" w:hAnsi="Garamond"/>
          <w:sz w:val="28"/>
          <w:szCs w:val="28"/>
        </w:rPr>
      </w:pPr>
      <w:r w:rsidRPr="00276AA7">
        <w:rPr>
          <w:rFonts w:ascii="Garamond" w:hAnsi="Garamond"/>
          <w:b/>
          <w:sz w:val="28"/>
          <w:szCs w:val="28"/>
        </w:rPr>
        <w:t>Macmillan</w:t>
      </w:r>
      <w:r>
        <w:rPr>
          <w:rFonts w:ascii="Garamond" w:hAnsi="Garamond"/>
          <w:sz w:val="28"/>
          <w:szCs w:val="28"/>
        </w:rPr>
        <w:t>: No ebooks available, all audio available</w:t>
      </w:r>
    </w:p>
    <w:p w:rsidR="00A3345B" w:rsidRDefault="00A3345B" w:rsidP="00397F49">
      <w:pPr>
        <w:pStyle w:val="NoSpacing"/>
        <w:rPr>
          <w:rFonts w:ascii="Garamond" w:hAnsi="Garamond"/>
          <w:sz w:val="28"/>
          <w:szCs w:val="28"/>
        </w:rPr>
      </w:pPr>
      <w:r w:rsidRPr="00276AA7">
        <w:rPr>
          <w:rFonts w:ascii="Garamond" w:hAnsi="Garamond"/>
          <w:b/>
          <w:sz w:val="28"/>
          <w:szCs w:val="28"/>
        </w:rPr>
        <w:t>Harper Collins</w:t>
      </w:r>
      <w:r>
        <w:rPr>
          <w:rFonts w:ascii="Garamond" w:hAnsi="Garamond"/>
          <w:sz w:val="28"/>
          <w:szCs w:val="28"/>
        </w:rPr>
        <w:t xml:space="preserve">: All ebooks and audiobooks available. Ebooks subject to 26 limit check-out </w:t>
      </w:r>
    </w:p>
    <w:p w:rsidR="00A3345B" w:rsidRDefault="00A3345B" w:rsidP="00397F49">
      <w:pPr>
        <w:pStyle w:val="NoSpacing"/>
        <w:rPr>
          <w:rFonts w:ascii="Garamond" w:hAnsi="Garamond"/>
          <w:sz w:val="28"/>
          <w:szCs w:val="28"/>
        </w:rPr>
      </w:pPr>
      <w:r w:rsidRPr="00276AA7">
        <w:rPr>
          <w:rFonts w:ascii="Garamond" w:hAnsi="Garamond"/>
          <w:b/>
          <w:sz w:val="28"/>
          <w:szCs w:val="28"/>
        </w:rPr>
        <w:t>Simon &amp; Schuster</w:t>
      </w:r>
      <w:r>
        <w:rPr>
          <w:rFonts w:ascii="Garamond" w:hAnsi="Garamond"/>
          <w:sz w:val="28"/>
          <w:szCs w:val="28"/>
        </w:rPr>
        <w:t xml:space="preserve">: One ebook available (Fahrenheit 451) with 26 limit checkout, All audio available </w:t>
      </w:r>
    </w:p>
    <w:p w:rsidR="00A3345B" w:rsidRDefault="00A3345B" w:rsidP="00397F49">
      <w:pPr>
        <w:pStyle w:val="NoSpacing"/>
        <w:rPr>
          <w:rFonts w:ascii="Garamond" w:hAnsi="Garamond"/>
          <w:sz w:val="28"/>
          <w:szCs w:val="28"/>
        </w:rPr>
      </w:pPr>
      <w:r w:rsidRPr="00276AA7">
        <w:rPr>
          <w:rFonts w:ascii="Garamond" w:hAnsi="Garamond"/>
          <w:b/>
          <w:sz w:val="28"/>
          <w:szCs w:val="28"/>
        </w:rPr>
        <w:t>Hachette</w:t>
      </w:r>
      <w:r>
        <w:rPr>
          <w:rFonts w:ascii="Garamond" w:hAnsi="Garamond"/>
          <w:sz w:val="28"/>
          <w:szCs w:val="28"/>
        </w:rPr>
        <w:t xml:space="preserve">: Ebooks published prior to 2010 available, all audio available </w:t>
      </w:r>
    </w:p>
    <w:p w:rsidR="00A3345B" w:rsidRDefault="00A3345B" w:rsidP="00010660">
      <w:pPr>
        <w:pStyle w:val="NoSpacing"/>
        <w:rPr>
          <w:rFonts w:ascii="Garamond" w:hAnsi="Garamond"/>
          <w:sz w:val="28"/>
          <w:szCs w:val="28"/>
        </w:rPr>
      </w:pPr>
      <w:r w:rsidRPr="00276AA7">
        <w:rPr>
          <w:rFonts w:ascii="Garamond" w:hAnsi="Garamond"/>
          <w:b/>
          <w:sz w:val="28"/>
          <w:szCs w:val="28"/>
        </w:rPr>
        <w:t>Random House</w:t>
      </w:r>
      <w:r>
        <w:rPr>
          <w:rFonts w:ascii="Garamond" w:hAnsi="Garamond"/>
          <w:sz w:val="28"/>
          <w:szCs w:val="28"/>
        </w:rPr>
        <w:t>: All ebooks and audio available</w:t>
      </w:r>
    </w:p>
    <w:p w:rsidR="00A3345B" w:rsidRDefault="00A3345B" w:rsidP="00010660">
      <w:pPr>
        <w:pStyle w:val="NoSpacing"/>
        <w:rPr>
          <w:rFonts w:ascii="Arial" w:hAnsi="Arial" w:cs="Arial"/>
          <w:b/>
          <w:bCs/>
          <w:sz w:val="20"/>
          <w:szCs w:val="20"/>
        </w:rPr>
      </w:pPr>
      <w:r w:rsidRPr="00010660">
        <w:rPr>
          <w:rFonts w:ascii="Garamond" w:hAnsi="Garamond"/>
          <w:b/>
          <w:sz w:val="28"/>
          <w:szCs w:val="28"/>
        </w:rPr>
        <w:t>Front Line Tech Support for WPLC Libraries</w:t>
      </w:r>
      <w:r>
        <w:rPr>
          <w:rFonts w:ascii="Arial" w:hAnsi="Arial" w:cs="Arial"/>
          <w:b/>
          <w:bCs/>
          <w:sz w:val="20"/>
          <w:szCs w:val="20"/>
        </w:rPr>
        <w:t>:</w:t>
      </w:r>
    </w:p>
    <w:p w:rsidR="00A3345B" w:rsidRPr="00010660" w:rsidRDefault="00A3345B" w:rsidP="00010660">
      <w:pPr>
        <w:shd w:val="clear" w:color="auto" w:fill="F3F3F3"/>
        <w:spacing w:before="100" w:beforeAutospacing="1" w:after="100" w:afterAutospacing="1"/>
        <w:rPr>
          <w:rFonts w:ascii="Times New Roman" w:hAnsi="Times New Roman"/>
          <w:sz w:val="24"/>
          <w:szCs w:val="24"/>
        </w:rPr>
      </w:pPr>
      <w:r w:rsidRPr="00010660">
        <w:rPr>
          <w:rFonts w:ascii="Garamond" w:hAnsi="Garamond" w:cs="Arial"/>
          <w:sz w:val="28"/>
          <w:szCs w:val="28"/>
        </w:rPr>
        <w:t xml:space="preserve">OverDrive </w:t>
      </w:r>
      <w:r>
        <w:rPr>
          <w:rFonts w:ascii="Garamond" w:hAnsi="Garamond" w:cs="Arial"/>
          <w:sz w:val="28"/>
          <w:szCs w:val="28"/>
        </w:rPr>
        <w:t xml:space="preserve">is offering Front Line Tech Support to WPLC member library systems with Advantage accounts. Please note: this is a fee-based service that requires sign-up. </w:t>
      </w:r>
      <w:r w:rsidRPr="00010660">
        <w:rPr>
          <w:rFonts w:ascii="Garamond" w:hAnsi="Garamond" w:cs="Arial"/>
          <w:sz w:val="28"/>
          <w:szCs w:val="28"/>
        </w:rPr>
        <w:t>Service goes live the 1</w:t>
      </w:r>
      <w:r w:rsidRPr="00010660">
        <w:rPr>
          <w:rFonts w:ascii="Garamond" w:hAnsi="Garamond" w:cs="Arial"/>
          <w:sz w:val="28"/>
          <w:szCs w:val="28"/>
          <w:vertAlign w:val="superscript"/>
        </w:rPr>
        <w:t>st</w:t>
      </w:r>
      <w:r w:rsidRPr="00010660">
        <w:rPr>
          <w:rFonts w:ascii="Garamond" w:hAnsi="Garamond" w:cs="Arial"/>
          <w:sz w:val="28"/>
          <w:szCs w:val="28"/>
        </w:rPr>
        <w:t xml:space="preserve"> day of the following month after you sign up so signing up in November would ensure you are prepared for the holidays</w:t>
      </w:r>
      <w:r w:rsidRPr="00010660">
        <w:rPr>
          <w:rFonts w:ascii="Arial" w:hAnsi="Arial" w:cs="Arial"/>
          <w:sz w:val="20"/>
          <w:szCs w:val="20"/>
        </w:rPr>
        <w:t> </w:t>
      </w:r>
    </w:p>
    <w:p w:rsidR="00A3345B" w:rsidRDefault="00A3345B" w:rsidP="00DD596E">
      <w:pPr>
        <w:shd w:val="clear" w:color="auto" w:fill="F3F3F3"/>
        <w:spacing w:before="100" w:beforeAutospacing="1" w:after="100" w:afterAutospacing="1"/>
        <w:rPr>
          <w:rFonts w:ascii="Garamond" w:hAnsi="Garamond" w:cs="Arial"/>
          <w:sz w:val="28"/>
          <w:szCs w:val="28"/>
        </w:rPr>
      </w:pPr>
      <w:r w:rsidRPr="00DD596E">
        <w:rPr>
          <w:rFonts w:ascii="Garamond" w:hAnsi="Garamond" w:cs="Arial"/>
          <w:sz w:val="28"/>
          <w:szCs w:val="28"/>
        </w:rPr>
        <w:t>OverDrive is</w:t>
      </w:r>
      <w:r w:rsidRPr="00010660">
        <w:rPr>
          <w:rFonts w:ascii="Garamond" w:hAnsi="Garamond" w:cs="Arial"/>
          <w:sz w:val="28"/>
          <w:szCs w:val="28"/>
        </w:rPr>
        <w:t xml:space="preserve"> off</w:t>
      </w:r>
      <w:r w:rsidRPr="00DD596E">
        <w:rPr>
          <w:rFonts w:ascii="Garamond" w:hAnsi="Garamond" w:cs="Arial"/>
          <w:sz w:val="28"/>
          <w:szCs w:val="28"/>
        </w:rPr>
        <w:t>er</w:t>
      </w:r>
      <w:r w:rsidRPr="00010660">
        <w:rPr>
          <w:rFonts w:ascii="Garamond" w:hAnsi="Garamond" w:cs="Arial"/>
          <w:sz w:val="28"/>
          <w:szCs w:val="28"/>
        </w:rPr>
        <w:t xml:space="preserve">ing </w:t>
      </w:r>
      <w:r w:rsidRPr="00DD596E">
        <w:rPr>
          <w:rFonts w:ascii="Garamond" w:hAnsi="Garamond" w:cs="Arial"/>
          <w:sz w:val="28"/>
          <w:szCs w:val="28"/>
        </w:rPr>
        <w:t>our</w:t>
      </w:r>
      <w:r w:rsidRPr="00010660">
        <w:rPr>
          <w:rFonts w:ascii="Garamond" w:hAnsi="Garamond" w:cs="Arial"/>
          <w:sz w:val="28"/>
          <w:szCs w:val="28"/>
        </w:rPr>
        <w:t xml:space="preserve"> consortium discounted pricing depending on how many libraries sign up. </w:t>
      </w:r>
    </w:p>
    <w:p w:rsidR="00A3345B" w:rsidRPr="00DD596E" w:rsidRDefault="00A3345B" w:rsidP="00DD596E">
      <w:pPr>
        <w:pStyle w:val="Default"/>
        <w:rPr>
          <w:rFonts w:ascii="Garamond" w:hAnsi="Garamond"/>
        </w:rPr>
      </w:pPr>
      <w:r w:rsidRPr="00DD596E">
        <w:rPr>
          <w:rFonts w:ascii="Garamond" w:hAnsi="Garamond"/>
        </w:rPr>
        <w:t xml:space="preserve">Regular Pricing: </w:t>
      </w:r>
    </w:p>
    <w:tbl>
      <w:tblPr>
        <w:tblW w:w="0" w:type="auto"/>
        <w:tblLayout w:type="fixed"/>
        <w:tblLook w:val="0000"/>
      </w:tblPr>
      <w:tblGrid>
        <w:gridCol w:w="2034"/>
        <w:gridCol w:w="2034"/>
        <w:gridCol w:w="2034"/>
      </w:tblGrid>
      <w:tr w:rsidR="00A3345B" w:rsidRPr="00240BB3">
        <w:trPr>
          <w:trHeight w:val="186"/>
        </w:trPr>
        <w:tc>
          <w:tcPr>
            <w:tcW w:w="2034" w:type="dxa"/>
          </w:tcPr>
          <w:p w:rsidR="00A3345B" w:rsidRPr="00240BB3" w:rsidRDefault="00A3345B">
            <w:pPr>
              <w:pStyle w:val="Default"/>
              <w:rPr>
                <w:rFonts w:ascii="Garamond" w:hAnsi="Garamond"/>
                <w:sz w:val="20"/>
                <w:szCs w:val="20"/>
              </w:rPr>
            </w:pPr>
            <w:r w:rsidRPr="00240BB3">
              <w:rPr>
                <w:rFonts w:ascii="Garamond" w:hAnsi="Garamond"/>
              </w:rPr>
              <w:t xml:space="preserve"> </w:t>
            </w:r>
            <w:r w:rsidRPr="00240BB3">
              <w:rPr>
                <w:rFonts w:ascii="Garamond" w:hAnsi="Garamond"/>
                <w:b/>
                <w:bCs/>
                <w:sz w:val="20"/>
                <w:szCs w:val="20"/>
              </w:rPr>
              <w:t xml:space="preserve">Tier </w:t>
            </w:r>
          </w:p>
        </w:tc>
        <w:tc>
          <w:tcPr>
            <w:tcW w:w="2034" w:type="dxa"/>
          </w:tcPr>
          <w:p w:rsidR="00A3345B" w:rsidRPr="00240BB3" w:rsidRDefault="00A3345B">
            <w:pPr>
              <w:pStyle w:val="Default"/>
              <w:rPr>
                <w:rFonts w:ascii="Garamond" w:hAnsi="Garamond"/>
                <w:sz w:val="20"/>
                <w:szCs w:val="20"/>
              </w:rPr>
            </w:pPr>
            <w:r w:rsidRPr="00240BB3">
              <w:rPr>
                <w:rFonts w:ascii="Garamond" w:hAnsi="Garamond"/>
                <w:b/>
                <w:bCs/>
                <w:sz w:val="20"/>
                <w:szCs w:val="20"/>
              </w:rPr>
              <w:t xml:space="preserve">Library Service Area Population </w:t>
            </w:r>
          </w:p>
        </w:tc>
        <w:tc>
          <w:tcPr>
            <w:tcW w:w="2034" w:type="dxa"/>
          </w:tcPr>
          <w:p w:rsidR="00A3345B" w:rsidRPr="00240BB3" w:rsidRDefault="00A3345B">
            <w:pPr>
              <w:pStyle w:val="Default"/>
              <w:rPr>
                <w:rFonts w:ascii="Garamond" w:hAnsi="Garamond"/>
                <w:sz w:val="20"/>
                <w:szCs w:val="20"/>
              </w:rPr>
            </w:pPr>
            <w:r w:rsidRPr="00240BB3">
              <w:rPr>
                <w:rFonts w:ascii="Garamond" w:hAnsi="Garamond"/>
                <w:b/>
                <w:bCs/>
                <w:sz w:val="20"/>
                <w:szCs w:val="20"/>
              </w:rPr>
              <w:t xml:space="preserve">Annual Fee </w:t>
            </w:r>
          </w:p>
          <w:p w:rsidR="00A3345B" w:rsidRPr="00240BB3" w:rsidRDefault="00A3345B">
            <w:pPr>
              <w:pStyle w:val="Default"/>
              <w:rPr>
                <w:rFonts w:ascii="Garamond" w:hAnsi="Garamond"/>
                <w:sz w:val="16"/>
                <w:szCs w:val="16"/>
              </w:rPr>
            </w:pPr>
            <w:r w:rsidRPr="00240BB3">
              <w:rPr>
                <w:rFonts w:ascii="Garamond" w:hAnsi="Garamond"/>
                <w:sz w:val="16"/>
                <w:szCs w:val="16"/>
              </w:rPr>
              <w:t xml:space="preserve">(all fees in USD) </w:t>
            </w:r>
          </w:p>
        </w:tc>
      </w:tr>
      <w:tr w:rsidR="00A3345B" w:rsidRPr="00240BB3">
        <w:trPr>
          <w:trHeight w:val="84"/>
        </w:trPr>
        <w:tc>
          <w:tcPr>
            <w:tcW w:w="2034" w:type="dxa"/>
          </w:tcPr>
          <w:p w:rsidR="00A3345B" w:rsidRPr="00240BB3" w:rsidRDefault="00A3345B">
            <w:pPr>
              <w:pStyle w:val="Default"/>
              <w:rPr>
                <w:rFonts w:ascii="Garamond" w:hAnsi="Garamond"/>
                <w:sz w:val="18"/>
                <w:szCs w:val="18"/>
              </w:rPr>
            </w:pPr>
            <w:r w:rsidRPr="00240BB3">
              <w:rPr>
                <w:rFonts w:ascii="Garamond" w:hAnsi="Garamond"/>
                <w:sz w:val="18"/>
                <w:szCs w:val="18"/>
              </w:rPr>
              <w:t xml:space="preserve">1 </w:t>
            </w:r>
          </w:p>
        </w:tc>
        <w:tc>
          <w:tcPr>
            <w:tcW w:w="2034" w:type="dxa"/>
          </w:tcPr>
          <w:p w:rsidR="00A3345B" w:rsidRPr="00240BB3" w:rsidRDefault="00A3345B">
            <w:pPr>
              <w:pStyle w:val="Default"/>
              <w:rPr>
                <w:rFonts w:ascii="Garamond" w:hAnsi="Garamond"/>
                <w:sz w:val="18"/>
                <w:szCs w:val="18"/>
              </w:rPr>
            </w:pPr>
            <w:r w:rsidRPr="00240BB3">
              <w:rPr>
                <w:rFonts w:ascii="Garamond" w:hAnsi="Garamond"/>
                <w:sz w:val="18"/>
                <w:szCs w:val="18"/>
              </w:rPr>
              <w:t xml:space="preserve">Less than 100,000 </w:t>
            </w:r>
          </w:p>
        </w:tc>
        <w:tc>
          <w:tcPr>
            <w:tcW w:w="2034" w:type="dxa"/>
          </w:tcPr>
          <w:p w:rsidR="00A3345B" w:rsidRPr="00240BB3" w:rsidRDefault="00A3345B">
            <w:pPr>
              <w:pStyle w:val="Default"/>
              <w:rPr>
                <w:rFonts w:ascii="Garamond" w:hAnsi="Garamond"/>
                <w:sz w:val="18"/>
                <w:szCs w:val="18"/>
              </w:rPr>
            </w:pPr>
            <w:r w:rsidRPr="00240BB3">
              <w:rPr>
                <w:rFonts w:ascii="Garamond" w:hAnsi="Garamond"/>
                <w:sz w:val="18"/>
                <w:szCs w:val="18"/>
              </w:rPr>
              <w:t xml:space="preserve">$ 3,000 </w:t>
            </w:r>
          </w:p>
        </w:tc>
      </w:tr>
      <w:tr w:rsidR="00A3345B" w:rsidRPr="00240BB3">
        <w:trPr>
          <w:trHeight w:val="84"/>
        </w:trPr>
        <w:tc>
          <w:tcPr>
            <w:tcW w:w="2034" w:type="dxa"/>
          </w:tcPr>
          <w:p w:rsidR="00A3345B" w:rsidRPr="00240BB3" w:rsidRDefault="00A3345B">
            <w:pPr>
              <w:pStyle w:val="Default"/>
              <w:rPr>
                <w:rFonts w:ascii="Garamond" w:hAnsi="Garamond"/>
                <w:sz w:val="18"/>
                <w:szCs w:val="18"/>
              </w:rPr>
            </w:pPr>
            <w:r w:rsidRPr="00240BB3">
              <w:rPr>
                <w:rFonts w:ascii="Garamond" w:hAnsi="Garamond"/>
                <w:sz w:val="18"/>
                <w:szCs w:val="18"/>
              </w:rPr>
              <w:t xml:space="preserve">2 </w:t>
            </w:r>
          </w:p>
        </w:tc>
        <w:tc>
          <w:tcPr>
            <w:tcW w:w="2034" w:type="dxa"/>
          </w:tcPr>
          <w:p w:rsidR="00A3345B" w:rsidRPr="00240BB3" w:rsidRDefault="00A3345B">
            <w:pPr>
              <w:pStyle w:val="Default"/>
              <w:rPr>
                <w:rFonts w:ascii="Garamond" w:hAnsi="Garamond"/>
                <w:sz w:val="18"/>
                <w:szCs w:val="18"/>
              </w:rPr>
            </w:pPr>
            <w:r w:rsidRPr="00240BB3">
              <w:rPr>
                <w:rFonts w:ascii="Garamond" w:hAnsi="Garamond"/>
                <w:sz w:val="18"/>
                <w:szCs w:val="18"/>
              </w:rPr>
              <w:t xml:space="preserve">100,001 – 350,000 </w:t>
            </w:r>
          </w:p>
        </w:tc>
        <w:tc>
          <w:tcPr>
            <w:tcW w:w="2034" w:type="dxa"/>
          </w:tcPr>
          <w:p w:rsidR="00A3345B" w:rsidRPr="00240BB3" w:rsidRDefault="00A3345B">
            <w:pPr>
              <w:pStyle w:val="Default"/>
              <w:rPr>
                <w:rFonts w:ascii="Garamond" w:hAnsi="Garamond"/>
                <w:sz w:val="18"/>
                <w:szCs w:val="18"/>
              </w:rPr>
            </w:pPr>
            <w:r w:rsidRPr="00240BB3">
              <w:rPr>
                <w:rFonts w:ascii="Garamond" w:hAnsi="Garamond"/>
                <w:sz w:val="18"/>
                <w:szCs w:val="18"/>
              </w:rPr>
              <w:t xml:space="preserve">$ 6,000 </w:t>
            </w:r>
          </w:p>
        </w:tc>
      </w:tr>
      <w:tr w:rsidR="00A3345B" w:rsidRPr="00240BB3">
        <w:trPr>
          <w:trHeight w:val="84"/>
        </w:trPr>
        <w:tc>
          <w:tcPr>
            <w:tcW w:w="2034" w:type="dxa"/>
          </w:tcPr>
          <w:p w:rsidR="00A3345B" w:rsidRPr="00240BB3" w:rsidRDefault="00A3345B">
            <w:pPr>
              <w:pStyle w:val="Default"/>
              <w:rPr>
                <w:rFonts w:ascii="Garamond" w:hAnsi="Garamond"/>
                <w:sz w:val="18"/>
                <w:szCs w:val="18"/>
              </w:rPr>
            </w:pPr>
            <w:r w:rsidRPr="00240BB3">
              <w:rPr>
                <w:rFonts w:ascii="Garamond" w:hAnsi="Garamond"/>
                <w:sz w:val="18"/>
                <w:szCs w:val="18"/>
              </w:rPr>
              <w:t xml:space="preserve">3 </w:t>
            </w:r>
          </w:p>
        </w:tc>
        <w:tc>
          <w:tcPr>
            <w:tcW w:w="2034" w:type="dxa"/>
          </w:tcPr>
          <w:p w:rsidR="00A3345B" w:rsidRPr="00240BB3" w:rsidRDefault="00A3345B">
            <w:pPr>
              <w:pStyle w:val="Default"/>
              <w:rPr>
                <w:rFonts w:ascii="Garamond" w:hAnsi="Garamond"/>
                <w:sz w:val="18"/>
                <w:szCs w:val="18"/>
              </w:rPr>
            </w:pPr>
            <w:r w:rsidRPr="00240BB3">
              <w:rPr>
                <w:rFonts w:ascii="Garamond" w:hAnsi="Garamond"/>
                <w:sz w:val="18"/>
                <w:szCs w:val="18"/>
              </w:rPr>
              <w:t xml:space="preserve">350,001 – 600,000 </w:t>
            </w:r>
          </w:p>
        </w:tc>
        <w:tc>
          <w:tcPr>
            <w:tcW w:w="2034" w:type="dxa"/>
          </w:tcPr>
          <w:p w:rsidR="00A3345B" w:rsidRPr="00240BB3" w:rsidRDefault="00A3345B">
            <w:pPr>
              <w:pStyle w:val="Default"/>
              <w:rPr>
                <w:rFonts w:ascii="Garamond" w:hAnsi="Garamond"/>
                <w:sz w:val="18"/>
                <w:szCs w:val="18"/>
              </w:rPr>
            </w:pPr>
            <w:r w:rsidRPr="00240BB3">
              <w:rPr>
                <w:rFonts w:ascii="Garamond" w:hAnsi="Garamond"/>
                <w:sz w:val="18"/>
                <w:szCs w:val="18"/>
              </w:rPr>
              <w:t xml:space="preserve">$ 10,000 </w:t>
            </w:r>
          </w:p>
        </w:tc>
      </w:tr>
      <w:tr w:rsidR="00A3345B" w:rsidRPr="00240BB3">
        <w:trPr>
          <w:trHeight w:val="84"/>
        </w:trPr>
        <w:tc>
          <w:tcPr>
            <w:tcW w:w="2034" w:type="dxa"/>
          </w:tcPr>
          <w:p w:rsidR="00A3345B" w:rsidRPr="00240BB3" w:rsidRDefault="00A3345B">
            <w:pPr>
              <w:pStyle w:val="Default"/>
              <w:rPr>
                <w:rFonts w:ascii="Garamond" w:hAnsi="Garamond"/>
                <w:sz w:val="18"/>
                <w:szCs w:val="18"/>
              </w:rPr>
            </w:pPr>
            <w:r w:rsidRPr="00240BB3">
              <w:rPr>
                <w:rFonts w:ascii="Garamond" w:hAnsi="Garamond"/>
                <w:sz w:val="18"/>
                <w:szCs w:val="18"/>
              </w:rPr>
              <w:t xml:space="preserve">4 </w:t>
            </w:r>
          </w:p>
        </w:tc>
        <w:tc>
          <w:tcPr>
            <w:tcW w:w="2034" w:type="dxa"/>
          </w:tcPr>
          <w:p w:rsidR="00A3345B" w:rsidRPr="00240BB3" w:rsidRDefault="00A3345B">
            <w:pPr>
              <w:pStyle w:val="Default"/>
              <w:rPr>
                <w:rFonts w:ascii="Garamond" w:hAnsi="Garamond"/>
                <w:sz w:val="18"/>
                <w:szCs w:val="18"/>
              </w:rPr>
            </w:pPr>
            <w:r w:rsidRPr="00240BB3">
              <w:rPr>
                <w:rFonts w:ascii="Garamond" w:hAnsi="Garamond"/>
                <w:sz w:val="18"/>
                <w:szCs w:val="18"/>
              </w:rPr>
              <w:t xml:space="preserve">600,001 – 1,000,000 </w:t>
            </w:r>
          </w:p>
        </w:tc>
        <w:tc>
          <w:tcPr>
            <w:tcW w:w="2034" w:type="dxa"/>
          </w:tcPr>
          <w:p w:rsidR="00A3345B" w:rsidRPr="00240BB3" w:rsidRDefault="00A3345B">
            <w:pPr>
              <w:pStyle w:val="Default"/>
              <w:rPr>
                <w:rFonts w:ascii="Garamond" w:hAnsi="Garamond"/>
                <w:sz w:val="18"/>
                <w:szCs w:val="18"/>
              </w:rPr>
            </w:pPr>
            <w:r w:rsidRPr="00240BB3">
              <w:rPr>
                <w:rFonts w:ascii="Garamond" w:hAnsi="Garamond"/>
                <w:sz w:val="18"/>
                <w:szCs w:val="18"/>
              </w:rPr>
              <w:t xml:space="preserve">$ 14,000 </w:t>
            </w:r>
          </w:p>
        </w:tc>
      </w:tr>
      <w:tr w:rsidR="00A3345B" w:rsidRPr="00240BB3">
        <w:trPr>
          <w:trHeight w:val="84"/>
        </w:trPr>
        <w:tc>
          <w:tcPr>
            <w:tcW w:w="2034" w:type="dxa"/>
          </w:tcPr>
          <w:p w:rsidR="00A3345B" w:rsidRPr="00240BB3" w:rsidRDefault="00A3345B">
            <w:pPr>
              <w:pStyle w:val="Default"/>
              <w:rPr>
                <w:rFonts w:ascii="Garamond" w:hAnsi="Garamond"/>
                <w:sz w:val="18"/>
                <w:szCs w:val="18"/>
              </w:rPr>
            </w:pPr>
            <w:r w:rsidRPr="00240BB3">
              <w:rPr>
                <w:rFonts w:ascii="Garamond" w:hAnsi="Garamond"/>
                <w:sz w:val="18"/>
                <w:szCs w:val="18"/>
              </w:rPr>
              <w:t xml:space="preserve">5 </w:t>
            </w:r>
          </w:p>
        </w:tc>
        <w:tc>
          <w:tcPr>
            <w:tcW w:w="2034" w:type="dxa"/>
          </w:tcPr>
          <w:p w:rsidR="00A3345B" w:rsidRPr="00240BB3" w:rsidRDefault="00A3345B">
            <w:pPr>
              <w:pStyle w:val="Default"/>
              <w:rPr>
                <w:rFonts w:ascii="Garamond" w:hAnsi="Garamond"/>
                <w:sz w:val="18"/>
                <w:szCs w:val="18"/>
              </w:rPr>
            </w:pPr>
            <w:r w:rsidRPr="00240BB3">
              <w:rPr>
                <w:rFonts w:ascii="Garamond" w:hAnsi="Garamond"/>
                <w:sz w:val="18"/>
                <w:szCs w:val="18"/>
              </w:rPr>
              <w:t xml:space="preserve">1,000,000+ </w:t>
            </w:r>
          </w:p>
        </w:tc>
        <w:tc>
          <w:tcPr>
            <w:tcW w:w="2034" w:type="dxa"/>
          </w:tcPr>
          <w:p w:rsidR="00A3345B" w:rsidRPr="00240BB3" w:rsidRDefault="00A3345B">
            <w:pPr>
              <w:pStyle w:val="Default"/>
              <w:rPr>
                <w:rFonts w:ascii="Garamond" w:hAnsi="Garamond"/>
                <w:sz w:val="18"/>
                <w:szCs w:val="18"/>
              </w:rPr>
            </w:pPr>
            <w:r w:rsidRPr="00240BB3">
              <w:rPr>
                <w:rFonts w:ascii="Garamond" w:hAnsi="Garamond"/>
                <w:sz w:val="18"/>
                <w:szCs w:val="18"/>
              </w:rPr>
              <w:t xml:space="preserve">$ 18,000 </w:t>
            </w:r>
          </w:p>
        </w:tc>
      </w:tr>
    </w:tbl>
    <w:p w:rsidR="00A3345B" w:rsidRPr="00DD596E" w:rsidRDefault="00A3345B" w:rsidP="00DD596E">
      <w:pPr>
        <w:spacing w:before="100" w:beforeAutospacing="1" w:after="100" w:afterAutospacing="1"/>
        <w:rPr>
          <w:rFonts w:ascii="Garamond" w:hAnsi="Garamond"/>
          <w:sz w:val="24"/>
          <w:szCs w:val="24"/>
        </w:rPr>
      </w:pPr>
      <w:r w:rsidRPr="00DD596E">
        <w:rPr>
          <w:rFonts w:ascii="Garamond" w:hAnsi="Garamond"/>
          <w:bCs/>
          <w:color w:val="000000"/>
          <w:sz w:val="24"/>
          <w:szCs w:val="24"/>
        </w:rPr>
        <w:t>Discount: If at least 5 Libraries sign up for Front Line</w:t>
      </w:r>
      <w:r w:rsidRPr="00DD596E">
        <w:rPr>
          <w:rFonts w:ascii="Garamond" w:hAnsi="Garamond"/>
          <w:sz w:val="24"/>
          <w:szCs w:val="24"/>
        </w:rPr>
        <w:t xml:space="preserve"> They will receive </w:t>
      </w:r>
      <w:r w:rsidRPr="00DD596E">
        <w:rPr>
          <w:rFonts w:ascii="Garamond" w:hAnsi="Garamond"/>
          <w:bCs/>
          <w:color w:val="000000"/>
          <w:sz w:val="24"/>
          <w:szCs w:val="24"/>
        </w:rPr>
        <w:t>20% off</w:t>
      </w:r>
    </w:p>
    <w:p w:rsidR="00A3345B" w:rsidRPr="00DD596E" w:rsidRDefault="00A3345B" w:rsidP="00DD596E">
      <w:pPr>
        <w:spacing w:before="100" w:beforeAutospacing="1" w:after="100" w:afterAutospacing="1"/>
        <w:rPr>
          <w:rFonts w:ascii="Garamond" w:hAnsi="Garamond"/>
          <w:sz w:val="24"/>
          <w:szCs w:val="24"/>
        </w:rPr>
      </w:pPr>
      <w:r w:rsidRPr="00DD596E">
        <w:rPr>
          <w:rFonts w:ascii="Garamond" w:hAnsi="Garamond"/>
          <w:bCs/>
          <w:color w:val="000000"/>
          <w:sz w:val="24"/>
          <w:szCs w:val="24"/>
        </w:rPr>
        <w:t xml:space="preserve">$2400 Per Library if library serving population is UNDER 100,000 </w:t>
      </w:r>
    </w:p>
    <w:p w:rsidR="00A3345B" w:rsidRPr="00DD596E" w:rsidRDefault="00A3345B" w:rsidP="00DD596E">
      <w:pPr>
        <w:spacing w:before="100" w:beforeAutospacing="1" w:after="100" w:afterAutospacing="1"/>
        <w:rPr>
          <w:rFonts w:ascii="Garamond" w:hAnsi="Garamond"/>
          <w:sz w:val="24"/>
          <w:szCs w:val="24"/>
        </w:rPr>
      </w:pPr>
      <w:r w:rsidRPr="00DD596E">
        <w:rPr>
          <w:rFonts w:ascii="Garamond" w:hAnsi="Garamond"/>
          <w:bCs/>
          <w:color w:val="000000"/>
          <w:sz w:val="24"/>
          <w:szCs w:val="24"/>
        </w:rPr>
        <w:t>$4800 Per Library if library serving population is OVER 100,000</w:t>
      </w:r>
    </w:p>
    <w:p w:rsidR="00A3345B" w:rsidRPr="00DD596E" w:rsidRDefault="00A3345B" w:rsidP="00DD596E">
      <w:pPr>
        <w:spacing w:before="100" w:beforeAutospacing="1" w:after="100" w:afterAutospacing="1"/>
        <w:rPr>
          <w:rFonts w:ascii="Garamond" w:hAnsi="Garamond"/>
          <w:sz w:val="24"/>
          <w:szCs w:val="24"/>
        </w:rPr>
      </w:pPr>
      <w:r w:rsidRPr="00DD596E">
        <w:rPr>
          <w:rFonts w:ascii="Garamond" w:hAnsi="Garamond"/>
          <w:bCs/>
          <w:color w:val="000000"/>
          <w:sz w:val="24"/>
          <w:szCs w:val="24"/>
        </w:rPr>
        <w:t>$8000 Library if library serving population is OVER 350,000</w:t>
      </w:r>
    </w:p>
    <w:p w:rsidR="00A3345B" w:rsidRDefault="00A3345B" w:rsidP="00DD596E">
      <w:pPr>
        <w:shd w:val="clear" w:color="auto" w:fill="F3F3F3"/>
        <w:spacing w:before="100" w:beforeAutospacing="1" w:after="100" w:afterAutospacing="1"/>
        <w:rPr>
          <w:rFonts w:ascii="Garamond" w:hAnsi="Garamond" w:cs="Arial"/>
          <w:sz w:val="28"/>
          <w:szCs w:val="28"/>
        </w:rPr>
      </w:pPr>
      <w:r>
        <w:rPr>
          <w:rFonts w:ascii="Garamond" w:hAnsi="Garamond" w:cs="Arial"/>
          <w:sz w:val="28"/>
          <w:szCs w:val="28"/>
        </w:rPr>
        <w:t xml:space="preserve">OverDrive contact: </w:t>
      </w:r>
    </w:p>
    <w:p w:rsidR="00A3345B" w:rsidRPr="00010660" w:rsidRDefault="00A3345B" w:rsidP="00DD596E">
      <w:pPr>
        <w:shd w:val="clear" w:color="auto" w:fill="F3F3F3"/>
        <w:spacing w:before="100" w:beforeAutospacing="1" w:after="100" w:afterAutospacing="1"/>
        <w:rPr>
          <w:rFonts w:ascii="Garamond" w:hAnsi="Garamond"/>
          <w:sz w:val="28"/>
          <w:szCs w:val="28"/>
        </w:rPr>
      </w:pPr>
      <w:r w:rsidRPr="00010660">
        <w:rPr>
          <w:rFonts w:ascii="Arial" w:hAnsi="Arial" w:cs="Arial"/>
          <w:b/>
          <w:bCs/>
          <w:color w:val="000000"/>
          <w:sz w:val="18"/>
          <w:szCs w:val="18"/>
        </w:rPr>
        <w:t>Joe Mueller</w:t>
      </w:r>
      <w:r>
        <w:rPr>
          <w:rFonts w:ascii="Garamond" w:hAnsi="Garamond"/>
          <w:sz w:val="28"/>
          <w:szCs w:val="28"/>
        </w:rPr>
        <w:t xml:space="preserve">  </w:t>
      </w:r>
      <w:r w:rsidRPr="00010660">
        <w:rPr>
          <w:rFonts w:ascii="Arial Narrow" w:hAnsi="Arial Narrow"/>
          <w:sz w:val="18"/>
          <w:szCs w:val="18"/>
        </w:rPr>
        <w:t>Phone: 216-573-6886 ext. 278</w:t>
      </w:r>
    </w:p>
    <w:p w:rsidR="00A3345B" w:rsidRDefault="00A3345B" w:rsidP="00010660">
      <w:pPr>
        <w:pStyle w:val="NoSpacing"/>
        <w:rPr>
          <w:rFonts w:ascii="Arial" w:hAnsi="Arial" w:cs="Arial"/>
          <w:b/>
          <w:bCs/>
          <w:sz w:val="20"/>
          <w:szCs w:val="20"/>
        </w:rPr>
      </w:pPr>
    </w:p>
    <w:p w:rsidR="00A3345B" w:rsidRPr="00DD596E" w:rsidRDefault="00A3345B" w:rsidP="00010660">
      <w:pPr>
        <w:pStyle w:val="NoSpacing"/>
        <w:rPr>
          <w:rFonts w:ascii="Garamond" w:hAnsi="Garamond" w:cs="Arial"/>
          <w:bCs/>
          <w:sz w:val="28"/>
          <w:szCs w:val="28"/>
        </w:rPr>
      </w:pPr>
      <w:r w:rsidRPr="00DD596E">
        <w:rPr>
          <w:rFonts w:ascii="Garamond" w:hAnsi="Garamond" w:cs="Arial"/>
          <w:bCs/>
          <w:sz w:val="28"/>
          <w:szCs w:val="28"/>
        </w:rPr>
        <w:t xml:space="preserve">Is this something </w:t>
      </w:r>
      <w:r>
        <w:rPr>
          <w:rFonts w:ascii="Garamond" w:hAnsi="Garamond" w:cs="Arial"/>
          <w:bCs/>
          <w:sz w:val="28"/>
          <w:szCs w:val="28"/>
        </w:rPr>
        <w:t xml:space="preserve">we want to consider? </w:t>
      </w:r>
    </w:p>
    <w:p w:rsidR="00A3345B" w:rsidRDefault="00A3345B" w:rsidP="00010660">
      <w:pPr>
        <w:pStyle w:val="NoSpacing"/>
        <w:rPr>
          <w:rFonts w:ascii="Arial" w:hAnsi="Arial" w:cs="Arial"/>
          <w:b/>
          <w:bCs/>
          <w:sz w:val="20"/>
          <w:szCs w:val="20"/>
        </w:rPr>
      </w:pPr>
    </w:p>
    <w:p w:rsidR="00A3345B" w:rsidRPr="00010660" w:rsidRDefault="00A3345B" w:rsidP="00010660">
      <w:pPr>
        <w:pStyle w:val="NoSpacing"/>
        <w:rPr>
          <w:rFonts w:ascii="Arial" w:hAnsi="Arial" w:cs="Arial"/>
          <w:b/>
          <w:bCs/>
          <w:sz w:val="20"/>
          <w:szCs w:val="20"/>
        </w:rPr>
      </w:pPr>
      <w:r w:rsidRPr="00010660">
        <w:rPr>
          <w:rFonts w:ascii="Arial" w:hAnsi="Arial" w:cs="Arial"/>
          <w:b/>
          <w:bCs/>
          <w:sz w:val="20"/>
          <w:szCs w:val="20"/>
        </w:rPr>
        <w:t xml:space="preserve"> </w:t>
      </w:r>
    </w:p>
    <w:tbl>
      <w:tblPr>
        <w:tblW w:w="24862" w:type="dxa"/>
        <w:tblInd w:w="93" w:type="dxa"/>
        <w:tblLook w:val="00A0"/>
      </w:tblPr>
      <w:tblGrid>
        <w:gridCol w:w="3034"/>
        <w:gridCol w:w="5455"/>
        <w:gridCol w:w="2343"/>
        <w:gridCol w:w="3520"/>
        <w:gridCol w:w="1060"/>
        <w:gridCol w:w="5610"/>
        <w:gridCol w:w="960"/>
        <w:gridCol w:w="960"/>
        <w:gridCol w:w="960"/>
        <w:gridCol w:w="960"/>
      </w:tblGrid>
      <w:tr w:rsidR="00A3345B" w:rsidRPr="00240BB3" w:rsidTr="00BF1799">
        <w:trPr>
          <w:trHeight w:val="300"/>
        </w:trPr>
        <w:tc>
          <w:tcPr>
            <w:tcW w:w="3034" w:type="dxa"/>
            <w:tcBorders>
              <w:top w:val="nil"/>
              <w:left w:val="nil"/>
              <w:bottom w:val="nil"/>
              <w:right w:val="nil"/>
            </w:tcBorders>
            <w:noWrap/>
            <w:vAlign w:val="bottom"/>
          </w:tcPr>
          <w:p w:rsidR="00A3345B" w:rsidRPr="00BF1799" w:rsidRDefault="00A3345B" w:rsidP="00BF1799">
            <w:pPr>
              <w:spacing w:after="0"/>
              <w:rPr>
                <w:rFonts w:ascii="Arial" w:hAnsi="Arial" w:cs="Arial"/>
                <w:b/>
                <w:bCs/>
                <w:sz w:val="20"/>
                <w:szCs w:val="20"/>
              </w:rPr>
            </w:pPr>
          </w:p>
        </w:tc>
        <w:tc>
          <w:tcPr>
            <w:tcW w:w="5455" w:type="dxa"/>
            <w:tcBorders>
              <w:top w:val="nil"/>
              <w:left w:val="nil"/>
              <w:bottom w:val="nil"/>
              <w:right w:val="nil"/>
            </w:tcBorders>
            <w:noWrap/>
            <w:vAlign w:val="bottom"/>
          </w:tcPr>
          <w:p w:rsidR="00A3345B" w:rsidRPr="00BF1799" w:rsidRDefault="00A3345B" w:rsidP="00BF1799">
            <w:pPr>
              <w:spacing w:after="0"/>
              <w:rPr>
                <w:rFonts w:ascii="Arial" w:hAnsi="Arial" w:cs="Arial"/>
                <w:b/>
                <w:bCs/>
                <w:sz w:val="20"/>
                <w:szCs w:val="20"/>
              </w:rPr>
            </w:pPr>
          </w:p>
        </w:tc>
        <w:tc>
          <w:tcPr>
            <w:tcW w:w="2343" w:type="dxa"/>
            <w:tcBorders>
              <w:top w:val="nil"/>
              <w:left w:val="nil"/>
              <w:bottom w:val="nil"/>
              <w:right w:val="nil"/>
            </w:tcBorders>
            <w:noWrap/>
            <w:vAlign w:val="bottom"/>
          </w:tcPr>
          <w:p w:rsidR="00A3345B" w:rsidRPr="00BF1799" w:rsidRDefault="00A3345B" w:rsidP="00BF1799">
            <w:pPr>
              <w:spacing w:after="0"/>
              <w:rPr>
                <w:rFonts w:ascii="Arial" w:hAnsi="Arial" w:cs="Arial"/>
                <w:b/>
                <w:bCs/>
                <w:sz w:val="20"/>
                <w:szCs w:val="20"/>
              </w:rPr>
            </w:pPr>
          </w:p>
        </w:tc>
        <w:tc>
          <w:tcPr>
            <w:tcW w:w="3520" w:type="dxa"/>
            <w:tcBorders>
              <w:top w:val="nil"/>
              <w:left w:val="nil"/>
              <w:bottom w:val="nil"/>
              <w:right w:val="nil"/>
            </w:tcBorders>
            <w:noWrap/>
            <w:vAlign w:val="bottom"/>
          </w:tcPr>
          <w:p w:rsidR="00A3345B" w:rsidRPr="00BF1799" w:rsidRDefault="00A3345B" w:rsidP="00BF1799">
            <w:pPr>
              <w:spacing w:after="0"/>
              <w:rPr>
                <w:rFonts w:ascii="Arial" w:hAnsi="Arial" w:cs="Arial"/>
                <w:b/>
                <w:bCs/>
                <w:sz w:val="20"/>
                <w:szCs w:val="20"/>
              </w:rPr>
            </w:pPr>
          </w:p>
        </w:tc>
        <w:tc>
          <w:tcPr>
            <w:tcW w:w="1060" w:type="dxa"/>
            <w:tcBorders>
              <w:top w:val="nil"/>
              <w:left w:val="nil"/>
              <w:bottom w:val="nil"/>
              <w:right w:val="nil"/>
            </w:tcBorders>
            <w:noWrap/>
            <w:vAlign w:val="bottom"/>
          </w:tcPr>
          <w:p w:rsidR="00A3345B" w:rsidRPr="00BF1799" w:rsidRDefault="00A3345B" w:rsidP="00BF1799">
            <w:pPr>
              <w:spacing w:after="0"/>
              <w:rPr>
                <w:rFonts w:ascii="Arial" w:hAnsi="Arial" w:cs="Arial"/>
                <w:b/>
                <w:bCs/>
                <w:sz w:val="20"/>
                <w:szCs w:val="20"/>
              </w:rPr>
            </w:pPr>
          </w:p>
        </w:tc>
        <w:tc>
          <w:tcPr>
            <w:tcW w:w="5610" w:type="dxa"/>
            <w:tcBorders>
              <w:top w:val="nil"/>
              <w:left w:val="nil"/>
              <w:bottom w:val="nil"/>
              <w:right w:val="nil"/>
            </w:tcBorders>
            <w:noWrap/>
            <w:vAlign w:val="bottom"/>
          </w:tcPr>
          <w:p w:rsidR="00A3345B" w:rsidRPr="00BF1799" w:rsidRDefault="00A3345B" w:rsidP="00BF1799">
            <w:pPr>
              <w:spacing w:after="0"/>
              <w:rPr>
                <w:rFonts w:ascii="Arial" w:hAnsi="Arial" w:cs="Arial"/>
                <w:b/>
                <w:bCs/>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rPr>
                <w:rFonts w:ascii="Arial" w:hAnsi="Arial" w:cs="Arial"/>
                <w:b/>
                <w:bCs/>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rPr>
                <w:rFonts w:ascii="Arial" w:hAnsi="Arial" w:cs="Arial"/>
                <w:b/>
                <w:bCs/>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r>
      <w:tr w:rsidR="00A3345B" w:rsidRPr="00240BB3" w:rsidTr="00BF1799">
        <w:trPr>
          <w:trHeight w:val="300"/>
        </w:trPr>
        <w:tc>
          <w:tcPr>
            <w:tcW w:w="3034"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5455"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2343"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352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106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561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jc w:val="right"/>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jc w:val="right"/>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r>
      <w:tr w:rsidR="00A3345B" w:rsidRPr="00240BB3" w:rsidTr="00BF1799">
        <w:trPr>
          <w:trHeight w:val="300"/>
        </w:trPr>
        <w:tc>
          <w:tcPr>
            <w:tcW w:w="3034"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5455"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2343"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352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106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561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jc w:val="right"/>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jc w:val="right"/>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r>
      <w:tr w:rsidR="00A3345B" w:rsidRPr="00240BB3" w:rsidTr="00BF1799">
        <w:trPr>
          <w:trHeight w:val="300"/>
        </w:trPr>
        <w:tc>
          <w:tcPr>
            <w:tcW w:w="3034"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5455"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2343"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352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106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561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jc w:val="right"/>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jc w:val="right"/>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r>
      <w:tr w:rsidR="00A3345B" w:rsidRPr="00240BB3" w:rsidTr="00BF1799">
        <w:trPr>
          <w:trHeight w:val="300"/>
        </w:trPr>
        <w:tc>
          <w:tcPr>
            <w:tcW w:w="3034"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5455"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2343"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352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106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561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jc w:val="right"/>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jc w:val="right"/>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r>
      <w:tr w:rsidR="00A3345B" w:rsidRPr="00240BB3" w:rsidTr="00BF1799">
        <w:trPr>
          <w:trHeight w:val="300"/>
        </w:trPr>
        <w:tc>
          <w:tcPr>
            <w:tcW w:w="3034"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5455"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2343"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352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106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561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jc w:val="right"/>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jc w:val="right"/>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r>
      <w:tr w:rsidR="00A3345B" w:rsidRPr="00240BB3" w:rsidTr="00BF1799">
        <w:trPr>
          <w:trHeight w:val="300"/>
        </w:trPr>
        <w:tc>
          <w:tcPr>
            <w:tcW w:w="3034"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5455"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2343"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352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106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561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jc w:val="right"/>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jc w:val="right"/>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r>
      <w:tr w:rsidR="00A3345B" w:rsidRPr="00240BB3" w:rsidTr="00BF1799">
        <w:trPr>
          <w:trHeight w:val="300"/>
        </w:trPr>
        <w:tc>
          <w:tcPr>
            <w:tcW w:w="3034"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5455"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2343"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352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106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561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jc w:val="right"/>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jc w:val="right"/>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r>
      <w:tr w:rsidR="00A3345B" w:rsidRPr="00240BB3" w:rsidTr="00BF1799">
        <w:trPr>
          <w:trHeight w:val="300"/>
        </w:trPr>
        <w:tc>
          <w:tcPr>
            <w:tcW w:w="3034"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5455"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2343"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352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106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561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jc w:val="right"/>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jc w:val="right"/>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r>
      <w:tr w:rsidR="00A3345B" w:rsidRPr="00240BB3" w:rsidTr="00BF1799">
        <w:trPr>
          <w:trHeight w:val="360"/>
        </w:trPr>
        <w:tc>
          <w:tcPr>
            <w:tcW w:w="3034"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5455"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2343"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352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106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561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jc w:val="right"/>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jc w:val="right"/>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r>
      <w:tr w:rsidR="00A3345B" w:rsidRPr="00240BB3" w:rsidTr="00BF1799">
        <w:trPr>
          <w:trHeight w:val="300"/>
        </w:trPr>
        <w:tc>
          <w:tcPr>
            <w:tcW w:w="3034"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5455"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2343"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352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106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561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jc w:val="right"/>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jc w:val="right"/>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r>
      <w:tr w:rsidR="00A3345B" w:rsidRPr="00240BB3" w:rsidTr="00BF1799">
        <w:trPr>
          <w:trHeight w:val="300"/>
        </w:trPr>
        <w:tc>
          <w:tcPr>
            <w:tcW w:w="3034"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5455"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2343"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352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106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561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jc w:val="right"/>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jc w:val="right"/>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r>
      <w:tr w:rsidR="00A3345B" w:rsidRPr="00240BB3" w:rsidTr="00BF1799">
        <w:trPr>
          <w:trHeight w:val="300"/>
        </w:trPr>
        <w:tc>
          <w:tcPr>
            <w:tcW w:w="3034"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5455"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2343"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352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106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561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jc w:val="right"/>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jc w:val="right"/>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r>
      <w:tr w:rsidR="00A3345B" w:rsidRPr="00240BB3" w:rsidTr="00BF1799">
        <w:trPr>
          <w:trHeight w:val="300"/>
        </w:trPr>
        <w:tc>
          <w:tcPr>
            <w:tcW w:w="3034"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5455"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2343"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352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106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561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jc w:val="right"/>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jc w:val="right"/>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r>
      <w:tr w:rsidR="00A3345B" w:rsidRPr="00240BB3" w:rsidTr="00BF1799">
        <w:trPr>
          <w:trHeight w:val="300"/>
        </w:trPr>
        <w:tc>
          <w:tcPr>
            <w:tcW w:w="3034"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5455"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2343"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352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106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561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jc w:val="right"/>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jc w:val="right"/>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r>
      <w:tr w:rsidR="00A3345B" w:rsidRPr="00240BB3" w:rsidTr="00BF1799">
        <w:trPr>
          <w:trHeight w:val="300"/>
        </w:trPr>
        <w:tc>
          <w:tcPr>
            <w:tcW w:w="3034"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5455"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2343"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352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106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561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jc w:val="right"/>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jc w:val="right"/>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r>
      <w:tr w:rsidR="00A3345B" w:rsidRPr="00240BB3" w:rsidTr="00BF1799">
        <w:trPr>
          <w:trHeight w:val="300"/>
        </w:trPr>
        <w:tc>
          <w:tcPr>
            <w:tcW w:w="3034"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5455"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2343"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352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106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561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jc w:val="right"/>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jc w:val="right"/>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r>
      <w:tr w:rsidR="00A3345B" w:rsidRPr="00240BB3" w:rsidTr="00BF1799">
        <w:trPr>
          <w:trHeight w:val="360"/>
        </w:trPr>
        <w:tc>
          <w:tcPr>
            <w:tcW w:w="3034"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5455"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2343"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352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106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561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jc w:val="right"/>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jc w:val="right"/>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r>
      <w:tr w:rsidR="00A3345B" w:rsidRPr="00240BB3" w:rsidTr="00BF1799">
        <w:trPr>
          <w:trHeight w:val="300"/>
        </w:trPr>
        <w:tc>
          <w:tcPr>
            <w:tcW w:w="3034"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5455"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2343"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352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106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561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jc w:val="right"/>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jc w:val="right"/>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r>
      <w:tr w:rsidR="00A3345B" w:rsidRPr="00240BB3" w:rsidTr="00BF1799">
        <w:trPr>
          <w:trHeight w:val="300"/>
        </w:trPr>
        <w:tc>
          <w:tcPr>
            <w:tcW w:w="3034"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5455"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2343"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352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106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5610" w:type="dxa"/>
            <w:tcBorders>
              <w:top w:val="nil"/>
              <w:left w:val="nil"/>
              <w:bottom w:val="nil"/>
              <w:right w:val="nil"/>
            </w:tcBorders>
            <w:noWrap/>
            <w:vAlign w:val="bottom"/>
          </w:tcPr>
          <w:p w:rsidR="00A3345B" w:rsidRPr="00BF1799" w:rsidRDefault="00A3345B" w:rsidP="00BF1799">
            <w:pPr>
              <w:spacing w:after="0"/>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jc w:val="right"/>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jc w:val="right"/>
              <w:rPr>
                <w:rFonts w:ascii="Arial" w:hAnsi="Arial" w:cs="Arial"/>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r>
      <w:tr w:rsidR="00A3345B" w:rsidRPr="00240BB3" w:rsidTr="00BF1799">
        <w:trPr>
          <w:trHeight w:val="300"/>
        </w:trPr>
        <w:tc>
          <w:tcPr>
            <w:tcW w:w="3034" w:type="dxa"/>
            <w:tcBorders>
              <w:top w:val="nil"/>
              <w:left w:val="nil"/>
              <w:bottom w:val="nil"/>
              <w:right w:val="nil"/>
            </w:tcBorders>
            <w:noWrap/>
            <w:vAlign w:val="bottom"/>
          </w:tcPr>
          <w:p w:rsidR="00A3345B" w:rsidRPr="00BF1799" w:rsidRDefault="00A3345B" w:rsidP="00BF1799">
            <w:pPr>
              <w:spacing w:after="0"/>
              <w:rPr>
                <w:rFonts w:cs="Calibri"/>
                <w:color w:val="000000"/>
              </w:rPr>
            </w:pPr>
          </w:p>
        </w:tc>
        <w:tc>
          <w:tcPr>
            <w:tcW w:w="5455" w:type="dxa"/>
            <w:tcBorders>
              <w:top w:val="nil"/>
              <w:left w:val="nil"/>
              <w:bottom w:val="nil"/>
              <w:right w:val="nil"/>
            </w:tcBorders>
            <w:noWrap/>
            <w:vAlign w:val="bottom"/>
          </w:tcPr>
          <w:p w:rsidR="00A3345B" w:rsidRPr="00BF1799" w:rsidRDefault="00A3345B" w:rsidP="00BF1799">
            <w:pPr>
              <w:spacing w:after="0"/>
              <w:rPr>
                <w:rFonts w:cs="Calibri"/>
                <w:color w:val="000000"/>
              </w:rPr>
            </w:pPr>
          </w:p>
        </w:tc>
        <w:tc>
          <w:tcPr>
            <w:tcW w:w="2343" w:type="dxa"/>
            <w:tcBorders>
              <w:top w:val="nil"/>
              <w:left w:val="nil"/>
              <w:bottom w:val="nil"/>
              <w:right w:val="nil"/>
            </w:tcBorders>
            <w:noWrap/>
            <w:vAlign w:val="bottom"/>
          </w:tcPr>
          <w:p w:rsidR="00A3345B" w:rsidRPr="00BF1799" w:rsidRDefault="00A3345B" w:rsidP="00BF1799">
            <w:pPr>
              <w:spacing w:after="0"/>
              <w:rPr>
                <w:rFonts w:cs="Calibri"/>
                <w:color w:val="000000"/>
              </w:rPr>
            </w:pPr>
          </w:p>
        </w:tc>
        <w:tc>
          <w:tcPr>
            <w:tcW w:w="3520" w:type="dxa"/>
            <w:tcBorders>
              <w:top w:val="nil"/>
              <w:left w:val="nil"/>
              <w:bottom w:val="nil"/>
              <w:right w:val="nil"/>
            </w:tcBorders>
            <w:noWrap/>
            <w:vAlign w:val="bottom"/>
          </w:tcPr>
          <w:p w:rsidR="00A3345B" w:rsidRPr="00BF1799" w:rsidRDefault="00A3345B" w:rsidP="00BF1799">
            <w:pPr>
              <w:spacing w:after="0"/>
              <w:rPr>
                <w:rFonts w:cs="Calibri"/>
                <w:color w:val="000000"/>
              </w:rPr>
            </w:pPr>
          </w:p>
        </w:tc>
        <w:tc>
          <w:tcPr>
            <w:tcW w:w="10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c>
          <w:tcPr>
            <w:tcW w:w="5610" w:type="dxa"/>
            <w:tcBorders>
              <w:top w:val="nil"/>
              <w:left w:val="nil"/>
              <w:bottom w:val="nil"/>
              <w:right w:val="nil"/>
            </w:tcBorders>
            <w:noWrap/>
            <w:vAlign w:val="bottom"/>
          </w:tcPr>
          <w:p w:rsidR="00A3345B" w:rsidRPr="00BF1799" w:rsidRDefault="00A3345B" w:rsidP="00BF1799">
            <w:pPr>
              <w:spacing w:after="0"/>
              <w:rPr>
                <w:rFonts w:cs="Calibri"/>
                <w:color w:val="00000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r>
      <w:tr w:rsidR="00A3345B" w:rsidRPr="00240BB3" w:rsidTr="00BF1799">
        <w:trPr>
          <w:trHeight w:val="300"/>
        </w:trPr>
        <w:tc>
          <w:tcPr>
            <w:tcW w:w="3034" w:type="dxa"/>
            <w:tcBorders>
              <w:top w:val="nil"/>
              <w:left w:val="nil"/>
              <w:bottom w:val="nil"/>
              <w:right w:val="nil"/>
            </w:tcBorders>
            <w:noWrap/>
            <w:vAlign w:val="bottom"/>
          </w:tcPr>
          <w:p w:rsidR="00A3345B" w:rsidRPr="00BF1799" w:rsidRDefault="00A3345B" w:rsidP="00BF1799">
            <w:pPr>
              <w:spacing w:after="0"/>
              <w:rPr>
                <w:rFonts w:ascii="Arial" w:hAnsi="Arial" w:cs="Arial"/>
                <w:b/>
                <w:bCs/>
                <w:sz w:val="20"/>
                <w:szCs w:val="20"/>
              </w:rPr>
            </w:pPr>
          </w:p>
        </w:tc>
        <w:tc>
          <w:tcPr>
            <w:tcW w:w="5455" w:type="dxa"/>
            <w:tcBorders>
              <w:top w:val="nil"/>
              <w:left w:val="nil"/>
              <w:bottom w:val="nil"/>
              <w:right w:val="nil"/>
            </w:tcBorders>
            <w:noWrap/>
            <w:vAlign w:val="bottom"/>
          </w:tcPr>
          <w:p w:rsidR="00A3345B" w:rsidRPr="00BF1799" w:rsidRDefault="00A3345B" w:rsidP="00BF1799">
            <w:pPr>
              <w:spacing w:after="0"/>
              <w:rPr>
                <w:rFonts w:ascii="Arial" w:hAnsi="Arial" w:cs="Arial"/>
                <w:b/>
                <w:bCs/>
                <w:sz w:val="20"/>
                <w:szCs w:val="20"/>
              </w:rPr>
            </w:pPr>
          </w:p>
        </w:tc>
        <w:tc>
          <w:tcPr>
            <w:tcW w:w="2343" w:type="dxa"/>
            <w:tcBorders>
              <w:top w:val="nil"/>
              <w:left w:val="nil"/>
              <w:bottom w:val="nil"/>
              <w:right w:val="nil"/>
            </w:tcBorders>
            <w:noWrap/>
            <w:vAlign w:val="bottom"/>
          </w:tcPr>
          <w:p w:rsidR="00A3345B" w:rsidRPr="00BF1799" w:rsidRDefault="00A3345B" w:rsidP="00BF1799">
            <w:pPr>
              <w:spacing w:after="0"/>
              <w:rPr>
                <w:rFonts w:ascii="Arial" w:hAnsi="Arial" w:cs="Arial"/>
                <w:b/>
                <w:bCs/>
                <w:sz w:val="20"/>
                <w:szCs w:val="20"/>
              </w:rPr>
            </w:pPr>
          </w:p>
        </w:tc>
        <w:tc>
          <w:tcPr>
            <w:tcW w:w="3520" w:type="dxa"/>
            <w:tcBorders>
              <w:top w:val="nil"/>
              <w:left w:val="nil"/>
              <w:bottom w:val="nil"/>
              <w:right w:val="nil"/>
            </w:tcBorders>
            <w:noWrap/>
            <w:vAlign w:val="bottom"/>
          </w:tcPr>
          <w:p w:rsidR="00A3345B" w:rsidRPr="00BF1799" w:rsidRDefault="00A3345B" w:rsidP="00BF1799">
            <w:pPr>
              <w:spacing w:after="0"/>
              <w:rPr>
                <w:rFonts w:ascii="Arial" w:hAnsi="Arial" w:cs="Arial"/>
                <w:b/>
                <w:bCs/>
                <w:sz w:val="20"/>
                <w:szCs w:val="20"/>
              </w:rPr>
            </w:pPr>
          </w:p>
        </w:tc>
        <w:tc>
          <w:tcPr>
            <w:tcW w:w="1060" w:type="dxa"/>
            <w:tcBorders>
              <w:top w:val="nil"/>
              <w:left w:val="nil"/>
              <w:bottom w:val="nil"/>
              <w:right w:val="nil"/>
            </w:tcBorders>
            <w:noWrap/>
            <w:vAlign w:val="bottom"/>
          </w:tcPr>
          <w:p w:rsidR="00A3345B" w:rsidRPr="00BF1799" w:rsidRDefault="00A3345B" w:rsidP="00BF1799">
            <w:pPr>
              <w:spacing w:after="0"/>
              <w:rPr>
                <w:rFonts w:ascii="Arial" w:hAnsi="Arial" w:cs="Arial"/>
                <w:b/>
                <w:bCs/>
                <w:sz w:val="20"/>
                <w:szCs w:val="20"/>
              </w:rPr>
            </w:pPr>
          </w:p>
        </w:tc>
        <w:tc>
          <w:tcPr>
            <w:tcW w:w="5610" w:type="dxa"/>
            <w:tcBorders>
              <w:top w:val="nil"/>
              <w:left w:val="nil"/>
              <w:bottom w:val="nil"/>
              <w:right w:val="nil"/>
            </w:tcBorders>
            <w:noWrap/>
            <w:vAlign w:val="bottom"/>
          </w:tcPr>
          <w:p w:rsidR="00A3345B" w:rsidRPr="00BF1799" w:rsidRDefault="00A3345B" w:rsidP="00BF1799">
            <w:pPr>
              <w:spacing w:after="0"/>
              <w:rPr>
                <w:rFonts w:ascii="Arial" w:hAnsi="Arial" w:cs="Arial"/>
                <w:b/>
                <w:bCs/>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jc w:val="right"/>
              <w:rPr>
                <w:rFonts w:ascii="Arial" w:hAnsi="Arial" w:cs="Arial"/>
                <w:b/>
                <w:bCs/>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jc w:val="right"/>
              <w:rPr>
                <w:rFonts w:ascii="Arial" w:hAnsi="Arial" w:cs="Arial"/>
                <w:b/>
                <w:bCs/>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rPr>
                <w:rFonts w:ascii="Arial" w:hAnsi="Arial" w:cs="Arial"/>
                <w:b/>
                <w:bCs/>
                <w:sz w:val="20"/>
                <w:szCs w:val="20"/>
              </w:rPr>
            </w:pPr>
          </w:p>
        </w:tc>
        <w:tc>
          <w:tcPr>
            <w:tcW w:w="960" w:type="dxa"/>
            <w:tcBorders>
              <w:top w:val="nil"/>
              <w:left w:val="nil"/>
              <w:bottom w:val="nil"/>
              <w:right w:val="nil"/>
            </w:tcBorders>
            <w:noWrap/>
            <w:vAlign w:val="bottom"/>
          </w:tcPr>
          <w:p w:rsidR="00A3345B" w:rsidRPr="00BF1799" w:rsidRDefault="00A3345B" w:rsidP="00BF1799">
            <w:pPr>
              <w:spacing w:after="0"/>
              <w:jc w:val="right"/>
              <w:rPr>
                <w:rFonts w:ascii="Arial" w:hAnsi="Arial" w:cs="Arial"/>
                <w:b/>
                <w:bCs/>
                <w:sz w:val="20"/>
                <w:szCs w:val="20"/>
              </w:rPr>
            </w:pPr>
          </w:p>
        </w:tc>
      </w:tr>
      <w:tr w:rsidR="00A3345B" w:rsidRPr="00240BB3" w:rsidTr="00BF1799">
        <w:trPr>
          <w:trHeight w:val="300"/>
        </w:trPr>
        <w:tc>
          <w:tcPr>
            <w:tcW w:w="3034" w:type="dxa"/>
            <w:tcBorders>
              <w:top w:val="nil"/>
              <w:left w:val="nil"/>
              <w:bottom w:val="nil"/>
              <w:right w:val="nil"/>
            </w:tcBorders>
            <w:noWrap/>
            <w:vAlign w:val="bottom"/>
          </w:tcPr>
          <w:p w:rsidR="00A3345B" w:rsidRPr="00BF1799" w:rsidRDefault="00A3345B" w:rsidP="00BF1799">
            <w:pPr>
              <w:spacing w:after="0"/>
              <w:rPr>
                <w:rFonts w:cs="Calibri"/>
                <w:color w:val="000000"/>
              </w:rPr>
            </w:pPr>
          </w:p>
        </w:tc>
        <w:tc>
          <w:tcPr>
            <w:tcW w:w="5455" w:type="dxa"/>
            <w:tcBorders>
              <w:top w:val="nil"/>
              <w:left w:val="nil"/>
              <w:bottom w:val="nil"/>
              <w:right w:val="nil"/>
            </w:tcBorders>
            <w:noWrap/>
            <w:vAlign w:val="bottom"/>
          </w:tcPr>
          <w:p w:rsidR="00A3345B" w:rsidRPr="00BF1799" w:rsidRDefault="00A3345B" w:rsidP="00BF1799">
            <w:pPr>
              <w:spacing w:after="0"/>
              <w:rPr>
                <w:rFonts w:cs="Calibri"/>
                <w:color w:val="000000"/>
              </w:rPr>
            </w:pPr>
          </w:p>
        </w:tc>
        <w:tc>
          <w:tcPr>
            <w:tcW w:w="2343" w:type="dxa"/>
            <w:tcBorders>
              <w:top w:val="nil"/>
              <w:left w:val="nil"/>
              <w:bottom w:val="nil"/>
              <w:right w:val="nil"/>
            </w:tcBorders>
            <w:noWrap/>
            <w:vAlign w:val="bottom"/>
          </w:tcPr>
          <w:p w:rsidR="00A3345B" w:rsidRPr="00BF1799" w:rsidRDefault="00A3345B" w:rsidP="00BF1799">
            <w:pPr>
              <w:spacing w:after="0"/>
              <w:rPr>
                <w:rFonts w:cs="Calibri"/>
                <w:color w:val="000000"/>
              </w:rPr>
            </w:pPr>
          </w:p>
        </w:tc>
        <w:tc>
          <w:tcPr>
            <w:tcW w:w="3520" w:type="dxa"/>
            <w:tcBorders>
              <w:top w:val="nil"/>
              <w:left w:val="nil"/>
              <w:bottom w:val="nil"/>
              <w:right w:val="nil"/>
            </w:tcBorders>
            <w:noWrap/>
            <w:vAlign w:val="bottom"/>
          </w:tcPr>
          <w:p w:rsidR="00A3345B" w:rsidRPr="00BF1799" w:rsidRDefault="00A3345B" w:rsidP="00BF1799">
            <w:pPr>
              <w:spacing w:after="0"/>
              <w:rPr>
                <w:rFonts w:cs="Calibri"/>
                <w:color w:val="000000"/>
              </w:rPr>
            </w:pPr>
          </w:p>
        </w:tc>
        <w:tc>
          <w:tcPr>
            <w:tcW w:w="10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c>
          <w:tcPr>
            <w:tcW w:w="5610" w:type="dxa"/>
            <w:tcBorders>
              <w:top w:val="nil"/>
              <w:left w:val="nil"/>
              <w:bottom w:val="nil"/>
              <w:right w:val="nil"/>
            </w:tcBorders>
            <w:noWrap/>
            <w:vAlign w:val="bottom"/>
          </w:tcPr>
          <w:p w:rsidR="00A3345B" w:rsidRPr="00BF1799" w:rsidRDefault="00A3345B" w:rsidP="00BF1799">
            <w:pPr>
              <w:spacing w:after="0"/>
              <w:rPr>
                <w:rFonts w:cs="Calibri"/>
                <w:color w:val="00000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r>
      <w:tr w:rsidR="00A3345B" w:rsidRPr="00240BB3" w:rsidTr="00BF1799">
        <w:trPr>
          <w:trHeight w:val="300"/>
        </w:trPr>
        <w:tc>
          <w:tcPr>
            <w:tcW w:w="24862" w:type="dxa"/>
            <w:gridSpan w:val="10"/>
            <w:tcBorders>
              <w:top w:val="nil"/>
              <w:left w:val="nil"/>
              <w:bottom w:val="nil"/>
              <w:right w:val="nil"/>
            </w:tcBorders>
            <w:noWrap/>
            <w:vAlign w:val="bottom"/>
          </w:tcPr>
          <w:p w:rsidR="00A3345B" w:rsidRPr="00BF1799" w:rsidRDefault="00A3345B" w:rsidP="00BF1799">
            <w:pPr>
              <w:spacing w:after="0"/>
              <w:rPr>
                <w:rFonts w:cs="Calibri"/>
                <w:b/>
                <w:bCs/>
                <w:color w:val="000000"/>
              </w:rPr>
            </w:pPr>
          </w:p>
        </w:tc>
      </w:tr>
      <w:tr w:rsidR="00A3345B" w:rsidRPr="00240BB3" w:rsidTr="00BF1799">
        <w:trPr>
          <w:trHeight w:val="300"/>
        </w:trPr>
        <w:tc>
          <w:tcPr>
            <w:tcW w:w="3034" w:type="dxa"/>
            <w:tcBorders>
              <w:top w:val="nil"/>
              <w:left w:val="nil"/>
              <w:bottom w:val="nil"/>
              <w:right w:val="nil"/>
            </w:tcBorders>
            <w:noWrap/>
            <w:vAlign w:val="bottom"/>
          </w:tcPr>
          <w:p w:rsidR="00A3345B" w:rsidRPr="00BF1799" w:rsidRDefault="00A3345B" w:rsidP="00BF1799">
            <w:pPr>
              <w:spacing w:after="0"/>
              <w:rPr>
                <w:rFonts w:cs="Calibri"/>
                <w:color w:val="000000"/>
              </w:rPr>
            </w:pPr>
          </w:p>
        </w:tc>
        <w:tc>
          <w:tcPr>
            <w:tcW w:w="5455" w:type="dxa"/>
            <w:tcBorders>
              <w:top w:val="nil"/>
              <w:left w:val="nil"/>
              <w:bottom w:val="nil"/>
              <w:right w:val="nil"/>
            </w:tcBorders>
            <w:noWrap/>
            <w:vAlign w:val="bottom"/>
          </w:tcPr>
          <w:p w:rsidR="00A3345B" w:rsidRPr="00BF1799" w:rsidRDefault="00A3345B" w:rsidP="00BF1799">
            <w:pPr>
              <w:spacing w:after="0"/>
              <w:rPr>
                <w:rFonts w:cs="Calibri"/>
                <w:color w:val="000000"/>
              </w:rPr>
            </w:pPr>
          </w:p>
        </w:tc>
        <w:tc>
          <w:tcPr>
            <w:tcW w:w="2343" w:type="dxa"/>
            <w:tcBorders>
              <w:top w:val="nil"/>
              <w:left w:val="nil"/>
              <w:bottom w:val="nil"/>
              <w:right w:val="nil"/>
            </w:tcBorders>
            <w:noWrap/>
            <w:vAlign w:val="bottom"/>
          </w:tcPr>
          <w:p w:rsidR="00A3345B" w:rsidRPr="00BF1799" w:rsidRDefault="00A3345B" w:rsidP="00BF1799">
            <w:pPr>
              <w:spacing w:after="0"/>
              <w:rPr>
                <w:rFonts w:cs="Calibri"/>
                <w:color w:val="000000"/>
              </w:rPr>
            </w:pPr>
          </w:p>
        </w:tc>
        <w:tc>
          <w:tcPr>
            <w:tcW w:w="3520" w:type="dxa"/>
            <w:tcBorders>
              <w:top w:val="nil"/>
              <w:left w:val="nil"/>
              <w:bottom w:val="nil"/>
              <w:right w:val="nil"/>
            </w:tcBorders>
            <w:noWrap/>
            <w:vAlign w:val="bottom"/>
          </w:tcPr>
          <w:p w:rsidR="00A3345B" w:rsidRPr="00BF1799" w:rsidRDefault="00A3345B" w:rsidP="00BF1799">
            <w:pPr>
              <w:spacing w:after="0"/>
              <w:rPr>
                <w:rFonts w:cs="Calibri"/>
                <w:color w:val="000000"/>
              </w:rPr>
            </w:pPr>
          </w:p>
        </w:tc>
        <w:tc>
          <w:tcPr>
            <w:tcW w:w="10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c>
          <w:tcPr>
            <w:tcW w:w="5610" w:type="dxa"/>
            <w:tcBorders>
              <w:top w:val="nil"/>
              <w:left w:val="nil"/>
              <w:bottom w:val="nil"/>
              <w:right w:val="nil"/>
            </w:tcBorders>
            <w:noWrap/>
            <w:vAlign w:val="bottom"/>
          </w:tcPr>
          <w:p w:rsidR="00A3345B" w:rsidRPr="00BF1799" w:rsidRDefault="00A3345B" w:rsidP="00BF1799">
            <w:pPr>
              <w:spacing w:after="0"/>
              <w:rPr>
                <w:rFonts w:cs="Calibri"/>
                <w:color w:val="00000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c>
          <w:tcPr>
            <w:tcW w:w="960" w:type="dxa"/>
            <w:tcBorders>
              <w:top w:val="nil"/>
              <w:left w:val="nil"/>
              <w:bottom w:val="nil"/>
              <w:right w:val="nil"/>
            </w:tcBorders>
            <w:noWrap/>
            <w:vAlign w:val="bottom"/>
          </w:tcPr>
          <w:p w:rsidR="00A3345B" w:rsidRPr="00BF1799" w:rsidRDefault="00A3345B" w:rsidP="00BF1799">
            <w:pPr>
              <w:spacing w:after="0"/>
              <w:rPr>
                <w:rFonts w:cs="Calibri"/>
                <w:color w:val="000000"/>
              </w:rPr>
            </w:pPr>
          </w:p>
        </w:tc>
      </w:tr>
    </w:tbl>
    <w:tbl>
      <w:tblPr>
        <w:tblpPr w:leftFromText="180" w:rightFromText="180" w:vertAnchor="text" w:horzAnchor="margin" w:tblpXSpec="center" w:tblpY="1"/>
        <w:tblW w:w="12523" w:type="dxa"/>
        <w:tblCellMar>
          <w:left w:w="0" w:type="dxa"/>
          <w:right w:w="0" w:type="dxa"/>
        </w:tblCellMar>
        <w:tblLook w:val="00A0"/>
      </w:tblPr>
      <w:tblGrid>
        <w:gridCol w:w="5763"/>
        <w:gridCol w:w="1390"/>
        <w:gridCol w:w="1790"/>
        <w:gridCol w:w="1790"/>
        <w:gridCol w:w="1790"/>
      </w:tblGrid>
      <w:tr w:rsidR="00A3345B" w:rsidRPr="00240BB3" w:rsidTr="00DD596E">
        <w:trPr>
          <w:trHeight w:val="335"/>
        </w:trPr>
        <w:tc>
          <w:tcPr>
            <w:tcW w:w="5763" w:type="dxa"/>
            <w:tcBorders>
              <w:top w:val="single" w:sz="8" w:space="0" w:color="D9D9D9"/>
              <w:left w:val="single" w:sz="8" w:space="0" w:color="D9D9D9"/>
              <w:bottom w:val="single" w:sz="8" w:space="0" w:color="D9D9D9"/>
              <w:right w:val="single" w:sz="8" w:space="0" w:color="D9D9D9"/>
            </w:tcBorders>
            <w:noWrap/>
            <w:tcMar>
              <w:top w:w="0" w:type="dxa"/>
              <w:left w:w="108" w:type="dxa"/>
              <w:bottom w:w="0" w:type="dxa"/>
              <w:right w:w="108" w:type="dxa"/>
            </w:tcMar>
            <w:vAlign w:val="center"/>
          </w:tcPr>
          <w:p w:rsidR="00A3345B" w:rsidRPr="00010660" w:rsidRDefault="00A3345B" w:rsidP="00DD596E">
            <w:pPr>
              <w:spacing w:before="100" w:beforeAutospacing="1" w:after="100" w:afterAutospacing="1"/>
              <w:rPr>
                <w:rFonts w:ascii="Times New Roman" w:hAnsi="Times New Roman"/>
                <w:sz w:val="24"/>
                <w:szCs w:val="24"/>
              </w:rPr>
            </w:pPr>
          </w:p>
        </w:tc>
        <w:tc>
          <w:tcPr>
            <w:tcW w:w="139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A3345B" w:rsidRPr="00010660" w:rsidRDefault="00A3345B" w:rsidP="00DD596E">
            <w:pPr>
              <w:spacing w:before="100" w:beforeAutospacing="1" w:after="100" w:afterAutospacing="1"/>
              <w:rPr>
                <w:rFonts w:ascii="Times New Roman" w:hAnsi="Times New Roman"/>
                <w:sz w:val="24"/>
                <w:szCs w:val="24"/>
              </w:rPr>
            </w:pPr>
          </w:p>
        </w:tc>
        <w:tc>
          <w:tcPr>
            <w:tcW w:w="179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A3345B" w:rsidRPr="00010660" w:rsidRDefault="00A3345B" w:rsidP="00DD596E">
            <w:pPr>
              <w:spacing w:before="100" w:beforeAutospacing="1" w:after="100" w:afterAutospacing="1"/>
              <w:rPr>
                <w:rFonts w:ascii="Times New Roman" w:hAnsi="Times New Roman"/>
                <w:sz w:val="24"/>
                <w:szCs w:val="24"/>
              </w:rPr>
            </w:pPr>
          </w:p>
        </w:tc>
        <w:tc>
          <w:tcPr>
            <w:tcW w:w="179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A3345B" w:rsidRPr="00010660" w:rsidRDefault="00A3345B" w:rsidP="00DD596E">
            <w:pPr>
              <w:spacing w:before="100" w:beforeAutospacing="1" w:after="100" w:afterAutospacing="1"/>
              <w:rPr>
                <w:rFonts w:ascii="Times New Roman" w:hAnsi="Times New Roman"/>
                <w:sz w:val="24"/>
                <w:szCs w:val="24"/>
              </w:rPr>
            </w:pPr>
          </w:p>
        </w:tc>
        <w:tc>
          <w:tcPr>
            <w:tcW w:w="179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A3345B" w:rsidRPr="00010660" w:rsidRDefault="00A3345B" w:rsidP="00DD596E">
            <w:pPr>
              <w:spacing w:before="100" w:beforeAutospacing="1" w:after="100" w:afterAutospacing="1"/>
              <w:rPr>
                <w:rFonts w:ascii="Times New Roman" w:hAnsi="Times New Roman"/>
                <w:sz w:val="24"/>
                <w:szCs w:val="24"/>
              </w:rPr>
            </w:pPr>
          </w:p>
        </w:tc>
      </w:tr>
      <w:tr w:rsidR="00A3345B" w:rsidRPr="00240BB3" w:rsidTr="00DD596E">
        <w:trPr>
          <w:trHeight w:val="335"/>
        </w:trPr>
        <w:tc>
          <w:tcPr>
            <w:tcW w:w="57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A3345B" w:rsidRPr="00010660" w:rsidRDefault="00A3345B" w:rsidP="00DD596E">
            <w:pPr>
              <w:spacing w:before="100" w:beforeAutospacing="1" w:after="100" w:afterAutospacing="1"/>
              <w:rPr>
                <w:rFonts w:ascii="Times New Roman" w:hAnsi="Times New Roman"/>
                <w:sz w:val="24"/>
                <w:szCs w:val="24"/>
              </w:rPr>
            </w:pPr>
          </w:p>
        </w:tc>
        <w:tc>
          <w:tcPr>
            <w:tcW w:w="139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3345B" w:rsidRPr="00010660" w:rsidRDefault="00A3345B" w:rsidP="00DD596E">
            <w:pPr>
              <w:spacing w:before="100" w:beforeAutospacing="1" w:after="100" w:afterAutospacing="1"/>
              <w:rPr>
                <w:rFonts w:ascii="Times New Roman" w:hAnsi="Times New Roman"/>
                <w:sz w:val="24"/>
                <w:szCs w:val="24"/>
              </w:rPr>
            </w:pPr>
          </w:p>
        </w:tc>
        <w:tc>
          <w:tcPr>
            <w:tcW w:w="179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3345B" w:rsidRPr="00010660" w:rsidRDefault="00A3345B" w:rsidP="00DD596E">
            <w:pPr>
              <w:spacing w:before="100" w:beforeAutospacing="1" w:after="100" w:afterAutospacing="1"/>
              <w:jc w:val="right"/>
              <w:rPr>
                <w:rFonts w:ascii="Times New Roman" w:hAnsi="Times New Roman"/>
                <w:sz w:val="24"/>
                <w:szCs w:val="24"/>
              </w:rPr>
            </w:pPr>
          </w:p>
        </w:tc>
        <w:tc>
          <w:tcPr>
            <w:tcW w:w="1790" w:type="dxa"/>
            <w:noWrap/>
            <w:tcMar>
              <w:top w:w="0" w:type="dxa"/>
              <w:left w:w="108" w:type="dxa"/>
              <w:bottom w:w="0" w:type="dxa"/>
              <w:right w:w="108" w:type="dxa"/>
            </w:tcMar>
            <w:vAlign w:val="bottom"/>
          </w:tcPr>
          <w:p w:rsidR="00A3345B" w:rsidRPr="00010660" w:rsidRDefault="00A3345B" w:rsidP="00DD596E">
            <w:pPr>
              <w:spacing w:before="100" w:beforeAutospacing="1" w:after="100" w:afterAutospacing="1"/>
              <w:jc w:val="right"/>
              <w:rPr>
                <w:rFonts w:ascii="Times New Roman" w:hAnsi="Times New Roman"/>
                <w:sz w:val="24"/>
                <w:szCs w:val="24"/>
              </w:rPr>
            </w:pPr>
          </w:p>
        </w:tc>
        <w:tc>
          <w:tcPr>
            <w:tcW w:w="1790" w:type="dxa"/>
            <w:noWrap/>
            <w:tcMar>
              <w:top w:w="0" w:type="dxa"/>
              <w:left w:w="108" w:type="dxa"/>
              <w:bottom w:w="0" w:type="dxa"/>
              <w:right w:w="108" w:type="dxa"/>
            </w:tcMar>
            <w:vAlign w:val="bottom"/>
          </w:tcPr>
          <w:p w:rsidR="00A3345B" w:rsidRPr="00010660" w:rsidRDefault="00A3345B" w:rsidP="00DD596E">
            <w:pPr>
              <w:spacing w:before="100" w:beforeAutospacing="1" w:after="100" w:afterAutospacing="1"/>
              <w:jc w:val="right"/>
              <w:rPr>
                <w:rFonts w:ascii="Times New Roman" w:hAnsi="Times New Roman"/>
                <w:sz w:val="24"/>
                <w:szCs w:val="24"/>
              </w:rPr>
            </w:pPr>
          </w:p>
        </w:tc>
      </w:tr>
    </w:tbl>
    <w:p w:rsidR="00A3345B" w:rsidRPr="00FE22E7" w:rsidRDefault="00A3345B" w:rsidP="00FE22E7">
      <w:pPr>
        <w:jc w:val="both"/>
        <w:rPr>
          <w:rFonts w:ascii="Garamond" w:hAnsi="Garamond" w:cs="Calibri"/>
          <w:color w:val="000000"/>
          <w:sz w:val="28"/>
          <w:szCs w:val="28"/>
        </w:rPr>
      </w:pPr>
    </w:p>
    <w:p w:rsidR="00A3345B" w:rsidRPr="00FE22E7" w:rsidRDefault="00A3345B" w:rsidP="00FE22E7">
      <w:pPr>
        <w:pStyle w:val="NoSpacing"/>
        <w:tabs>
          <w:tab w:val="left" w:pos="90"/>
        </w:tabs>
        <w:ind w:left="90" w:firstLine="630"/>
        <w:jc w:val="both"/>
        <w:rPr>
          <w:rFonts w:ascii="Garamond" w:hAnsi="Garamond"/>
          <w:sz w:val="24"/>
          <w:szCs w:val="24"/>
        </w:rPr>
      </w:pPr>
    </w:p>
    <w:sectPr w:rsidR="00A3345B" w:rsidRPr="00FE22E7" w:rsidSect="00E538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22E7"/>
    <w:rsid w:val="00010660"/>
    <w:rsid w:val="00013049"/>
    <w:rsid w:val="00194230"/>
    <w:rsid w:val="00240BB3"/>
    <w:rsid w:val="00276AA7"/>
    <w:rsid w:val="00397F49"/>
    <w:rsid w:val="004B7FBA"/>
    <w:rsid w:val="00A05076"/>
    <w:rsid w:val="00A3345B"/>
    <w:rsid w:val="00BF1799"/>
    <w:rsid w:val="00D151C2"/>
    <w:rsid w:val="00DD596E"/>
    <w:rsid w:val="00E538AC"/>
    <w:rsid w:val="00EF6FDF"/>
    <w:rsid w:val="00FE22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8AC"/>
    <w:pPr>
      <w:spacing w:after="20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E22E7"/>
  </w:style>
  <w:style w:type="character" w:styleId="Hyperlink">
    <w:name w:val="Hyperlink"/>
    <w:basedOn w:val="DefaultParagraphFont"/>
    <w:uiPriority w:val="99"/>
    <w:rsid w:val="00397F49"/>
    <w:rPr>
      <w:rFonts w:cs="Times New Roman"/>
      <w:color w:val="0000FF"/>
      <w:u w:val="single"/>
    </w:rPr>
  </w:style>
  <w:style w:type="paragraph" w:customStyle="1" w:styleId="Default">
    <w:name w:val="Default"/>
    <w:uiPriority w:val="99"/>
    <w:rsid w:val="00DD596E"/>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47489423">
      <w:marLeft w:val="0"/>
      <w:marRight w:val="0"/>
      <w:marTop w:val="0"/>
      <w:marBottom w:val="0"/>
      <w:divBdr>
        <w:top w:val="none" w:sz="0" w:space="0" w:color="auto"/>
        <w:left w:val="none" w:sz="0" w:space="0" w:color="auto"/>
        <w:bottom w:val="none" w:sz="0" w:space="0" w:color="auto"/>
        <w:right w:val="none" w:sz="0" w:space="0" w:color="auto"/>
      </w:divBdr>
    </w:div>
    <w:div w:id="1047489424">
      <w:marLeft w:val="0"/>
      <w:marRight w:val="0"/>
      <w:marTop w:val="0"/>
      <w:marBottom w:val="0"/>
      <w:divBdr>
        <w:top w:val="none" w:sz="0" w:space="0" w:color="auto"/>
        <w:left w:val="none" w:sz="0" w:space="0" w:color="auto"/>
        <w:bottom w:val="none" w:sz="0" w:space="0" w:color="auto"/>
        <w:right w:val="none" w:sz="0" w:space="0" w:color="auto"/>
      </w:divBdr>
    </w:div>
    <w:div w:id="1047489425">
      <w:marLeft w:val="0"/>
      <w:marRight w:val="0"/>
      <w:marTop w:val="0"/>
      <w:marBottom w:val="0"/>
      <w:divBdr>
        <w:top w:val="none" w:sz="0" w:space="0" w:color="auto"/>
        <w:left w:val="none" w:sz="0" w:space="0" w:color="auto"/>
        <w:bottom w:val="none" w:sz="0" w:space="0" w:color="auto"/>
        <w:right w:val="none" w:sz="0" w:space="0" w:color="auto"/>
      </w:divBdr>
    </w:div>
    <w:div w:id="10474894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mericanlibrariesmagazine.org/e-content/remember-back-when-harpercollins-edition-brought-you-penguin" TargetMode="External"/><Relationship Id="rId4" Type="http://schemas.openxmlformats.org/officeDocument/2006/relationships/hyperlink" Target="http://www.wplc.info/reports/titles-purchased/%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539</Words>
  <Characters>3078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Gold</dc:creator>
  <cp:keywords/>
  <dc:description/>
  <cp:lastModifiedBy>Jane Richard</cp:lastModifiedBy>
  <cp:revision>2</cp:revision>
  <cp:lastPrinted>2012-11-16T15:37:00Z</cp:lastPrinted>
  <dcterms:created xsi:type="dcterms:W3CDTF">2012-11-16T15:38:00Z</dcterms:created>
  <dcterms:modified xsi:type="dcterms:W3CDTF">2012-11-16T15:38:00Z</dcterms:modified>
</cp:coreProperties>
</file>